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Grid-Accent4"/>
        <w:tblW w:w="14885" w:type="dxa"/>
        <w:tblInd w:w="-885" w:type="dxa"/>
        <w:tblLayout w:type="fixed"/>
        <w:tblLook w:val="04A0"/>
      </w:tblPr>
      <w:tblGrid>
        <w:gridCol w:w="2411"/>
        <w:gridCol w:w="1701"/>
        <w:gridCol w:w="1276"/>
        <w:gridCol w:w="2268"/>
        <w:gridCol w:w="2409"/>
        <w:gridCol w:w="2410"/>
        <w:gridCol w:w="2410"/>
      </w:tblGrid>
      <w:tr w:rsidR="00C57A36" w:rsidRPr="00D919D2" w:rsidTr="00D87A84">
        <w:trPr>
          <w:cnfStyle w:val="100000000000"/>
          <w:trHeight w:val="945"/>
        </w:trPr>
        <w:tc>
          <w:tcPr>
            <w:cnfStyle w:val="001000000000"/>
            <w:tcW w:w="2411" w:type="dxa"/>
          </w:tcPr>
          <w:p w:rsidR="00C57A36" w:rsidRDefault="00C57A36" w:rsidP="005B4B05">
            <w:pPr>
              <w:jc w:val="center"/>
            </w:pPr>
            <w:r>
              <w:t>Drug name</w:t>
            </w:r>
          </w:p>
        </w:tc>
        <w:tc>
          <w:tcPr>
            <w:tcW w:w="1701" w:type="dxa"/>
          </w:tcPr>
          <w:p w:rsidR="00C57A36" w:rsidRDefault="00C57A36" w:rsidP="005B4B05">
            <w:pPr>
              <w:cnfStyle w:val="100000000000"/>
            </w:pPr>
            <w:r>
              <w:t>Active ingredient</w:t>
            </w:r>
          </w:p>
        </w:tc>
        <w:tc>
          <w:tcPr>
            <w:tcW w:w="1276" w:type="dxa"/>
          </w:tcPr>
          <w:p w:rsidR="00C57A36" w:rsidRDefault="00C57A36" w:rsidP="005B4B05">
            <w:pPr>
              <w:cnfStyle w:val="100000000000"/>
            </w:pPr>
            <w:r>
              <w:t>Time given/onset/ duration</w:t>
            </w:r>
          </w:p>
        </w:tc>
        <w:tc>
          <w:tcPr>
            <w:tcW w:w="2268" w:type="dxa"/>
          </w:tcPr>
          <w:p w:rsidR="00C57A36" w:rsidRDefault="00C57A36" w:rsidP="005B4B05">
            <w:pPr>
              <w:cnfStyle w:val="100000000000"/>
            </w:pPr>
            <w:r>
              <w:t>Indication</w:t>
            </w:r>
          </w:p>
        </w:tc>
        <w:tc>
          <w:tcPr>
            <w:tcW w:w="2409" w:type="dxa"/>
          </w:tcPr>
          <w:p w:rsidR="00C57A36" w:rsidRDefault="00C57A36" w:rsidP="005B4B05">
            <w:pPr>
              <w:cnfStyle w:val="100000000000"/>
            </w:pPr>
            <w:r>
              <w:t>Contraindication</w:t>
            </w:r>
          </w:p>
        </w:tc>
        <w:tc>
          <w:tcPr>
            <w:tcW w:w="2410" w:type="dxa"/>
          </w:tcPr>
          <w:p w:rsidR="00C57A36" w:rsidRDefault="00C57A36" w:rsidP="005B4B05">
            <w:pPr>
              <w:cnfStyle w:val="100000000000"/>
            </w:pPr>
            <w:r>
              <w:t>route of administration/Withdrawal time</w:t>
            </w:r>
          </w:p>
        </w:tc>
        <w:tc>
          <w:tcPr>
            <w:tcW w:w="2410" w:type="dxa"/>
          </w:tcPr>
          <w:p w:rsidR="00C57A36" w:rsidRDefault="00C57A36" w:rsidP="005B4B05">
            <w:pPr>
              <w:cnfStyle w:val="100000000000"/>
              <w:rPr>
                <w:b w:val="0"/>
                <w:bCs w:val="0"/>
              </w:rPr>
            </w:pPr>
          </w:p>
          <w:p w:rsidR="00C57A36" w:rsidRPr="00D919D2" w:rsidRDefault="007A3CF6" w:rsidP="005B4B05">
            <w:pPr>
              <w:cnfStyle w:val="100000000000"/>
            </w:pPr>
            <w:r>
              <w:t>Direction for use</w:t>
            </w:r>
            <w:r w:rsidR="00710587">
              <w:t>/ Withdrawal time</w:t>
            </w:r>
          </w:p>
        </w:tc>
      </w:tr>
      <w:tr w:rsidR="00C57A36" w:rsidTr="00D87A84">
        <w:trPr>
          <w:cnfStyle w:val="000000100000"/>
        </w:trPr>
        <w:tc>
          <w:tcPr>
            <w:cnfStyle w:val="001000000000"/>
            <w:tcW w:w="2411" w:type="dxa"/>
          </w:tcPr>
          <w:p w:rsidR="00C57A36" w:rsidRDefault="007E0A2B" w:rsidP="007E0A2B">
            <w:r>
              <w:t>Tetravet aerosol</w:t>
            </w:r>
          </w:p>
          <w:p w:rsidR="00C57A36" w:rsidRDefault="00C57A36" w:rsidP="005B4B05">
            <w:pPr>
              <w:jc w:val="center"/>
            </w:pPr>
          </w:p>
          <w:p w:rsidR="00C57A36" w:rsidRDefault="00C57A36" w:rsidP="005B4B05">
            <w:pPr>
              <w:tabs>
                <w:tab w:val="left" w:pos="301"/>
              </w:tabs>
            </w:pPr>
            <w:r>
              <w:tab/>
            </w:r>
          </w:p>
          <w:p w:rsidR="00C57A36" w:rsidRDefault="00C57A36" w:rsidP="005B4B05">
            <w:pPr>
              <w:tabs>
                <w:tab w:val="left" w:pos="301"/>
              </w:tabs>
            </w:pPr>
          </w:p>
          <w:p w:rsidR="00C57A36" w:rsidRDefault="007E0A2B" w:rsidP="005B4B05">
            <w:pPr>
              <w:tabs>
                <w:tab w:val="left" w:pos="301"/>
              </w:tabs>
            </w:pPr>
            <w:r w:rsidRPr="007E0A2B">
              <w:drawing>
                <wp:inline distT="0" distB="0" distL="0" distR="0">
                  <wp:extent cx="846296" cy="2532679"/>
                  <wp:effectExtent l="19050" t="0" r="0" b="0"/>
                  <wp:docPr id="2" name="Picture 7" descr="https://scontent.fpos1-1.fna.fbcdn.net/v/t34.0-12/22127501_1508015115981808_1927690453_n.jpg?oh=6e4f3537f871028eda6902ae9d5c6a3b&amp;oe=59D29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pos1-1.fna.fbcdn.net/v/t34.0-12/22127501_1508015115981808_1927690453_n.jpg?oh=6e4f3537f871028eda6902ae9d5c6a3b&amp;oe=59D299E0"/>
                          <pic:cNvPicPr>
                            <a:picLocks noChangeAspect="1" noChangeArrowheads="1"/>
                          </pic:cNvPicPr>
                        </pic:nvPicPr>
                        <pic:blipFill>
                          <a:blip r:embed="rId6"/>
                          <a:srcRect l="29581" t="9612" r="33205" b="6341"/>
                          <a:stretch>
                            <a:fillRect/>
                          </a:stretch>
                        </pic:blipFill>
                        <pic:spPr bwMode="auto">
                          <a:xfrm>
                            <a:off x="0" y="0"/>
                            <a:ext cx="852676" cy="2551772"/>
                          </a:xfrm>
                          <a:prstGeom prst="rect">
                            <a:avLst/>
                          </a:prstGeom>
                          <a:noFill/>
                          <a:ln w="9525">
                            <a:noFill/>
                            <a:miter lim="800000"/>
                            <a:headEnd/>
                            <a:tailEnd/>
                          </a:ln>
                        </pic:spPr>
                      </pic:pic>
                    </a:graphicData>
                  </a:graphic>
                </wp:inline>
              </w:drawing>
            </w:r>
          </w:p>
          <w:p w:rsidR="00C57A36" w:rsidRDefault="00C57A36" w:rsidP="005B4B05">
            <w:pPr>
              <w:tabs>
                <w:tab w:val="left" w:pos="301"/>
              </w:tabs>
            </w:pPr>
          </w:p>
          <w:p w:rsidR="00C57A36" w:rsidRDefault="00C57A36" w:rsidP="005B4B05">
            <w:pPr>
              <w:tabs>
                <w:tab w:val="left" w:pos="301"/>
              </w:tabs>
            </w:pPr>
          </w:p>
          <w:p w:rsidR="00C57A36" w:rsidRDefault="00C57A36" w:rsidP="005B4B05">
            <w:pPr>
              <w:tabs>
                <w:tab w:val="left" w:pos="301"/>
              </w:tabs>
            </w:pPr>
          </w:p>
          <w:p w:rsidR="008853C2" w:rsidRDefault="008853C2" w:rsidP="005B4B05">
            <w:pPr>
              <w:tabs>
                <w:tab w:val="left" w:pos="301"/>
              </w:tabs>
            </w:pPr>
          </w:p>
          <w:p w:rsidR="008853C2" w:rsidRDefault="008853C2" w:rsidP="005B4B05">
            <w:pPr>
              <w:tabs>
                <w:tab w:val="left" w:pos="301"/>
              </w:tabs>
            </w:pPr>
          </w:p>
          <w:p w:rsidR="008853C2" w:rsidRDefault="008853C2" w:rsidP="005B4B05">
            <w:pPr>
              <w:tabs>
                <w:tab w:val="left" w:pos="301"/>
              </w:tabs>
            </w:pPr>
          </w:p>
          <w:p w:rsidR="008853C2" w:rsidRDefault="008853C2" w:rsidP="005B4B05">
            <w:pPr>
              <w:tabs>
                <w:tab w:val="left" w:pos="301"/>
              </w:tabs>
            </w:pPr>
          </w:p>
          <w:p w:rsidR="008853C2" w:rsidRDefault="008853C2" w:rsidP="005B4B05">
            <w:pPr>
              <w:tabs>
                <w:tab w:val="left" w:pos="301"/>
              </w:tabs>
            </w:pPr>
          </w:p>
          <w:p w:rsidR="008853C2" w:rsidRDefault="008853C2" w:rsidP="005B4B05">
            <w:pPr>
              <w:tabs>
                <w:tab w:val="left" w:pos="301"/>
              </w:tabs>
            </w:pPr>
          </w:p>
          <w:p w:rsidR="00C57A36" w:rsidRDefault="00C57A36" w:rsidP="005B4B05">
            <w:pPr>
              <w:tabs>
                <w:tab w:val="left" w:pos="301"/>
              </w:tabs>
            </w:pPr>
          </w:p>
          <w:p w:rsidR="00C57A36" w:rsidRDefault="00C57A36" w:rsidP="005B4B05">
            <w:pPr>
              <w:tabs>
                <w:tab w:val="left" w:pos="301"/>
              </w:tabs>
            </w:pPr>
          </w:p>
        </w:tc>
        <w:tc>
          <w:tcPr>
            <w:tcW w:w="1701" w:type="dxa"/>
          </w:tcPr>
          <w:p w:rsidR="007E0A2B" w:rsidRDefault="007E0A2B" w:rsidP="005B4B05">
            <w:pPr>
              <w:cnfStyle w:val="000000100000"/>
            </w:pPr>
            <w:r w:rsidRPr="007E0A2B">
              <w:t>Oxytetracycline HCI 2.5% and Gentian Violet 0.2%.</w:t>
            </w:r>
          </w:p>
          <w:p w:rsidR="007E0A2B" w:rsidRDefault="007E0A2B" w:rsidP="005B4B05">
            <w:pPr>
              <w:cnfStyle w:val="000000100000"/>
            </w:pPr>
          </w:p>
          <w:p w:rsidR="00C57A36" w:rsidRDefault="00C57A36" w:rsidP="005B4B05">
            <w:pPr>
              <w:cnfStyle w:val="000000100000"/>
            </w:pPr>
          </w:p>
        </w:tc>
        <w:tc>
          <w:tcPr>
            <w:tcW w:w="1276" w:type="dxa"/>
          </w:tcPr>
          <w:p w:rsidR="00C57A36" w:rsidRDefault="00C57A36" w:rsidP="005B4B05">
            <w:pPr>
              <w:cnfStyle w:val="000000100000"/>
            </w:pPr>
          </w:p>
          <w:p w:rsidR="007A3CF6" w:rsidRDefault="00C57A36" w:rsidP="007A3CF6">
            <w:pPr>
              <w:cnfStyle w:val="000000100000"/>
            </w:pPr>
            <w:r>
              <w:t xml:space="preserve">Given at </w:t>
            </w:r>
            <w:r w:rsidR="00DA6D05">
              <w:t>3:29pm</w:t>
            </w:r>
          </w:p>
          <w:p w:rsidR="00C57A36" w:rsidRDefault="00C57A36" w:rsidP="005B4B05">
            <w:pPr>
              <w:cnfStyle w:val="000000100000"/>
            </w:pPr>
          </w:p>
        </w:tc>
        <w:tc>
          <w:tcPr>
            <w:tcW w:w="2268" w:type="dxa"/>
          </w:tcPr>
          <w:p w:rsidR="00C57A36" w:rsidRDefault="007E0A2B" w:rsidP="005B4B05">
            <w:pPr>
              <w:cnfStyle w:val="000000100000"/>
            </w:pPr>
            <w:r w:rsidRPr="007E0A2B">
              <w:t>For the treatment and control of topical infections in all species of animals.</w:t>
            </w:r>
          </w:p>
        </w:tc>
        <w:tc>
          <w:tcPr>
            <w:tcW w:w="2409" w:type="dxa"/>
          </w:tcPr>
          <w:p w:rsidR="00C57A36" w:rsidRDefault="007A3CF6" w:rsidP="005B4B05">
            <w:pPr>
              <w:cnfStyle w:val="000000100000"/>
            </w:pPr>
            <w:r w:rsidRPr="007A3CF6">
              <w:t>NOT FOR USE IN FIBRE PRODUCING ANIMALS</w:t>
            </w:r>
          </w:p>
          <w:p w:rsidR="00C57A36" w:rsidRDefault="00C57A36" w:rsidP="005B4B05">
            <w:pPr>
              <w:cnfStyle w:val="000000100000"/>
            </w:pPr>
          </w:p>
        </w:tc>
        <w:tc>
          <w:tcPr>
            <w:tcW w:w="2410" w:type="dxa"/>
          </w:tcPr>
          <w:p w:rsidR="00C57A36" w:rsidRPr="007A3CF6" w:rsidRDefault="007A3CF6" w:rsidP="005B4B05">
            <w:pPr>
              <w:cnfStyle w:val="000000100000"/>
              <w:rPr>
                <w:b/>
              </w:rPr>
            </w:pPr>
            <w:r>
              <w:rPr>
                <w:b/>
              </w:rPr>
              <w:t>Route : topical</w:t>
            </w:r>
          </w:p>
          <w:p w:rsidR="007A3CF6" w:rsidRPr="004417CE" w:rsidRDefault="00C57A36" w:rsidP="007A3CF6">
            <w:pPr>
              <w:cnfStyle w:val="000000100000"/>
              <w:rPr>
                <w:color w:val="8064A2" w:themeColor="accent4"/>
              </w:rPr>
            </w:pPr>
            <w:r>
              <w:t xml:space="preserve"> </w:t>
            </w:r>
          </w:p>
          <w:p w:rsidR="00C57A36" w:rsidRPr="004417CE" w:rsidRDefault="00C57A36" w:rsidP="005B4B05">
            <w:pPr>
              <w:cnfStyle w:val="000000100000"/>
              <w:rPr>
                <w:color w:val="8064A2" w:themeColor="accent4"/>
              </w:rPr>
            </w:pPr>
          </w:p>
        </w:tc>
        <w:tc>
          <w:tcPr>
            <w:tcW w:w="2410" w:type="dxa"/>
          </w:tcPr>
          <w:p w:rsidR="007A3CF6" w:rsidRPr="007A3CF6" w:rsidRDefault="007A3CF6" w:rsidP="007A3CF6">
            <w:pPr>
              <w:cnfStyle w:val="000000100000"/>
              <w:rPr>
                <w:b/>
              </w:rPr>
            </w:pPr>
            <w:r w:rsidRPr="007A3CF6">
              <w:rPr>
                <w:b/>
              </w:rPr>
              <w:t>SHAKE WELL BEFORE USE. For topical use only.</w:t>
            </w:r>
          </w:p>
          <w:p w:rsidR="007A3CF6" w:rsidRPr="007A3CF6" w:rsidRDefault="007A3CF6" w:rsidP="007A3CF6">
            <w:pPr>
              <w:cnfStyle w:val="000000100000"/>
              <w:rPr>
                <w:b/>
              </w:rPr>
            </w:pPr>
            <w:r w:rsidRPr="007A3CF6">
              <w:rPr>
                <w:b/>
              </w:rPr>
              <w:t>Remove any dead tissue, dried serum or secretions and debris from infection site.</w:t>
            </w:r>
          </w:p>
          <w:p w:rsidR="007A3CF6" w:rsidRDefault="007A3CF6" w:rsidP="007A3CF6">
            <w:pPr>
              <w:cnfStyle w:val="000000100000"/>
              <w:rPr>
                <w:b/>
              </w:rPr>
            </w:pPr>
            <w:r w:rsidRPr="007A3CF6">
              <w:rPr>
                <w:b/>
              </w:rPr>
              <w:t>Hold pack upright approximately 15 – 20cm from the surface and cover affected area completely once or twice a day and repeat for 3 – 5 days or as required.</w:t>
            </w:r>
          </w:p>
          <w:p w:rsidR="00C57A36" w:rsidRDefault="00C57A36" w:rsidP="005B4B05">
            <w:pPr>
              <w:cnfStyle w:val="000000100000"/>
              <w:rPr>
                <w:b/>
              </w:rPr>
            </w:pPr>
          </w:p>
        </w:tc>
      </w:tr>
      <w:tr w:rsidR="007A3CF6" w:rsidTr="00D87A84">
        <w:trPr>
          <w:cnfStyle w:val="000000010000"/>
        </w:trPr>
        <w:tc>
          <w:tcPr>
            <w:cnfStyle w:val="001000000000"/>
            <w:tcW w:w="2411" w:type="dxa"/>
          </w:tcPr>
          <w:p w:rsidR="007A3CF6" w:rsidRDefault="007A3CF6" w:rsidP="007E0A2B"/>
          <w:p w:rsidR="007A3CF6" w:rsidRDefault="007A3CF6" w:rsidP="007E0A2B"/>
          <w:p w:rsidR="007A3CF6" w:rsidRDefault="008853C2" w:rsidP="007E0A2B">
            <w:r>
              <w:t>Agropharm Screwworm aerosol</w:t>
            </w:r>
          </w:p>
          <w:p w:rsidR="007A3CF6" w:rsidRDefault="007A3CF6" w:rsidP="007E0A2B"/>
          <w:p w:rsidR="007A3CF6" w:rsidRDefault="007A3CF6" w:rsidP="007E0A2B"/>
          <w:p w:rsidR="007A3CF6" w:rsidRDefault="007A3CF6" w:rsidP="007E0A2B"/>
          <w:p w:rsidR="007A3CF6" w:rsidRDefault="007A3CF6" w:rsidP="007E0A2B"/>
          <w:p w:rsidR="007A3CF6" w:rsidRDefault="007A3CF6" w:rsidP="007E0A2B"/>
          <w:p w:rsidR="007A3CF6" w:rsidRDefault="007A3CF6" w:rsidP="007E0A2B"/>
          <w:p w:rsidR="007A3CF6" w:rsidRDefault="007A3CF6" w:rsidP="007E0A2B">
            <w:r w:rsidRPr="007A3CF6">
              <w:drawing>
                <wp:inline distT="0" distB="0" distL="0" distR="0">
                  <wp:extent cx="844650" cy="2376000"/>
                  <wp:effectExtent l="19050" t="0" r="0" b="0"/>
                  <wp:docPr id="3" name="Picture 10" descr="https://scontent.fpos1-1.fna.fbcdn.net/v/t34.0-12/22155206_1509577689158884_1056810018_n.jpg?oh=4a792aae940410b1b8de0692d23e8b6d&amp;oe=59D367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pos1-1.fna.fbcdn.net/v/t34.0-12/22155206_1509577689158884_1056810018_n.jpg?oh=4a792aae940410b1b8de0692d23e8b6d&amp;oe=59D3672C"/>
                          <pic:cNvPicPr>
                            <a:picLocks noChangeAspect="1" noChangeArrowheads="1"/>
                          </pic:cNvPicPr>
                        </pic:nvPicPr>
                        <pic:blipFill>
                          <a:blip r:embed="rId7"/>
                          <a:srcRect l="24632" t="-234" r="30468"/>
                          <a:stretch>
                            <a:fillRect/>
                          </a:stretch>
                        </pic:blipFill>
                        <pic:spPr bwMode="auto">
                          <a:xfrm>
                            <a:off x="0" y="0"/>
                            <a:ext cx="844650" cy="2376000"/>
                          </a:xfrm>
                          <a:prstGeom prst="rect">
                            <a:avLst/>
                          </a:prstGeom>
                          <a:noFill/>
                          <a:ln w="9525">
                            <a:noFill/>
                            <a:miter lim="800000"/>
                            <a:headEnd/>
                            <a:tailEnd/>
                          </a:ln>
                        </pic:spPr>
                      </pic:pic>
                    </a:graphicData>
                  </a:graphic>
                </wp:inline>
              </w:drawing>
            </w:r>
          </w:p>
          <w:p w:rsidR="007A3CF6" w:rsidRDefault="007A3CF6" w:rsidP="007E0A2B"/>
          <w:p w:rsidR="007A3CF6" w:rsidRDefault="007A3CF6" w:rsidP="007E0A2B"/>
          <w:p w:rsidR="007A3CF6" w:rsidRDefault="007A3CF6" w:rsidP="007E0A2B"/>
          <w:p w:rsidR="007A3CF6" w:rsidRDefault="007A3CF6" w:rsidP="007E0A2B"/>
          <w:p w:rsidR="007A3CF6" w:rsidRDefault="007A3CF6" w:rsidP="007E0A2B"/>
          <w:p w:rsidR="00316CB0" w:rsidRDefault="00316CB0" w:rsidP="007E0A2B"/>
          <w:p w:rsidR="00316CB0" w:rsidRDefault="00316CB0" w:rsidP="007E0A2B"/>
          <w:p w:rsidR="007A3CF6" w:rsidRDefault="007A3CF6" w:rsidP="007E0A2B"/>
          <w:p w:rsidR="007A3CF6" w:rsidRDefault="007A3CF6" w:rsidP="007E0A2B"/>
          <w:p w:rsidR="007A3CF6" w:rsidRDefault="007A3CF6" w:rsidP="007E0A2B"/>
        </w:tc>
        <w:tc>
          <w:tcPr>
            <w:tcW w:w="1701" w:type="dxa"/>
          </w:tcPr>
          <w:p w:rsidR="00D87A84" w:rsidRDefault="00D87A84" w:rsidP="005B4B05">
            <w:pPr>
              <w:cnfStyle w:val="000000010000"/>
            </w:pPr>
          </w:p>
          <w:p w:rsidR="00D87A84" w:rsidRDefault="00D87A84" w:rsidP="005B4B05">
            <w:pPr>
              <w:cnfStyle w:val="000000010000"/>
            </w:pPr>
            <w:r>
              <w:t>Permethrin</w:t>
            </w:r>
          </w:p>
          <w:p w:rsidR="00D87A84" w:rsidRPr="007E0A2B" w:rsidRDefault="00D87A84" w:rsidP="005B4B05">
            <w:pPr>
              <w:cnfStyle w:val="000000010000"/>
            </w:pPr>
            <w:r>
              <w:t>0.5%</w:t>
            </w:r>
          </w:p>
        </w:tc>
        <w:tc>
          <w:tcPr>
            <w:tcW w:w="1276" w:type="dxa"/>
          </w:tcPr>
          <w:p w:rsidR="007A3CF6" w:rsidRDefault="00DA6D05" w:rsidP="005B4B05">
            <w:pPr>
              <w:cnfStyle w:val="000000010000"/>
            </w:pPr>
            <w:r>
              <w:t>Given at 3:29pm</w:t>
            </w:r>
          </w:p>
        </w:tc>
        <w:tc>
          <w:tcPr>
            <w:tcW w:w="2268" w:type="dxa"/>
          </w:tcPr>
          <w:p w:rsidR="008853C2" w:rsidRDefault="008853C2" w:rsidP="008853C2">
            <w:pPr>
              <w:cnfStyle w:val="000000010000"/>
            </w:pPr>
            <w:r>
              <w:t>Kills flies and fly maggots on wounds.</w:t>
            </w:r>
          </w:p>
          <w:p w:rsidR="008853C2" w:rsidRDefault="008853C2" w:rsidP="008853C2">
            <w:pPr>
              <w:cnfStyle w:val="000000010000"/>
            </w:pPr>
          </w:p>
          <w:p w:rsidR="008853C2" w:rsidRDefault="008853C2" w:rsidP="008853C2">
            <w:pPr>
              <w:cnfStyle w:val="000000010000"/>
            </w:pPr>
            <w:r>
              <w:t>For Use On:</w:t>
            </w:r>
          </w:p>
          <w:p w:rsidR="008853C2" w:rsidRDefault="008853C2" w:rsidP="008853C2">
            <w:pPr>
              <w:cnfStyle w:val="000000010000"/>
            </w:pPr>
          </w:p>
          <w:p w:rsidR="007A3CF6" w:rsidRPr="007E0A2B" w:rsidRDefault="008853C2" w:rsidP="008853C2">
            <w:pPr>
              <w:cnfStyle w:val="000000010000"/>
            </w:pPr>
            <w:r>
              <w:t>Beef and Dairy Cattle, Sheep, Goats, Swine and Horses.</w:t>
            </w:r>
          </w:p>
        </w:tc>
        <w:tc>
          <w:tcPr>
            <w:tcW w:w="2409" w:type="dxa"/>
          </w:tcPr>
          <w:p w:rsidR="007A3CF6" w:rsidRPr="007A3CF6" w:rsidRDefault="00316CB0" w:rsidP="005B4B05">
            <w:pPr>
              <w:cnfStyle w:val="000000010000"/>
            </w:pPr>
            <w:r w:rsidRPr="00316CB0">
              <w:t>Harmful if swallowed, absorbed through the skin or inhaled. Causes moderate eye irritation. Avoid breathing spray mist. Avoid contact with skin, eyes or clothing. Wash thoroughly with soap and water after handling and before smoking or eating. Remove contaminated clothing and wash before reuse. Avoid contamination of feed and foodstuffs</w:t>
            </w:r>
          </w:p>
        </w:tc>
        <w:tc>
          <w:tcPr>
            <w:tcW w:w="2410" w:type="dxa"/>
          </w:tcPr>
          <w:p w:rsidR="007A3CF6" w:rsidRDefault="00316CB0" w:rsidP="005B4B05">
            <w:pPr>
              <w:cnfStyle w:val="000000010000"/>
              <w:rPr>
                <w:b/>
              </w:rPr>
            </w:pPr>
            <w:r>
              <w:rPr>
                <w:b/>
              </w:rPr>
              <w:t>Route : topical</w:t>
            </w:r>
          </w:p>
        </w:tc>
        <w:tc>
          <w:tcPr>
            <w:tcW w:w="2410" w:type="dxa"/>
          </w:tcPr>
          <w:p w:rsidR="007A3CF6" w:rsidRPr="007A3CF6" w:rsidRDefault="00316CB0" w:rsidP="007A3CF6">
            <w:pPr>
              <w:cnfStyle w:val="000000010000"/>
              <w:rPr>
                <w:b/>
              </w:rPr>
            </w:pPr>
            <w:r w:rsidRPr="00316CB0">
              <w:rPr>
                <w:b/>
              </w:rPr>
              <w:t>Remove protective cap, hold container upright and spray from a distance of 12 to 15 inches.</w:t>
            </w:r>
          </w:p>
        </w:tc>
      </w:tr>
      <w:tr w:rsidR="007A3CF6" w:rsidTr="00D87A84">
        <w:trPr>
          <w:cnfStyle w:val="000000100000"/>
        </w:trPr>
        <w:tc>
          <w:tcPr>
            <w:cnfStyle w:val="001000000000"/>
            <w:tcW w:w="2411" w:type="dxa"/>
          </w:tcPr>
          <w:p w:rsidR="007A3CF6" w:rsidRDefault="007A3CF6" w:rsidP="007E0A2B"/>
          <w:p w:rsidR="00D46C07" w:rsidRDefault="00D46C07" w:rsidP="007E0A2B"/>
          <w:p w:rsidR="00D46C07" w:rsidRDefault="00D46C07" w:rsidP="007E0A2B">
            <w:r w:rsidRPr="00D46C07">
              <w:drawing>
                <wp:inline distT="0" distB="0" distL="0" distR="0">
                  <wp:extent cx="831555" cy="2804140"/>
                  <wp:effectExtent l="19050" t="0" r="6645" b="0"/>
                  <wp:docPr id="4" name="Picture 13" descr="https://scontent.fpos1-1.fna.fbcdn.net/v/t34.0-12/22155189_1509577659158887_374593961_n.jpg?oh=9f6798574f876c3a3f0580d60c232452&amp;oe=59D27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ontent.fpos1-1.fna.fbcdn.net/v/t34.0-12/22155189_1509577659158887_374593961_n.jpg?oh=9f6798574f876c3a3f0580d60c232452&amp;oe=59D276C6"/>
                          <pic:cNvPicPr>
                            <a:picLocks noChangeAspect="1" noChangeArrowheads="1"/>
                          </pic:cNvPicPr>
                        </pic:nvPicPr>
                        <pic:blipFill>
                          <a:blip r:embed="rId8"/>
                          <a:srcRect l="30186" t="2673" r="31399"/>
                          <a:stretch>
                            <a:fillRect/>
                          </a:stretch>
                        </pic:blipFill>
                        <pic:spPr bwMode="auto">
                          <a:xfrm>
                            <a:off x="0" y="0"/>
                            <a:ext cx="833151" cy="2809523"/>
                          </a:xfrm>
                          <a:prstGeom prst="rect">
                            <a:avLst/>
                          </a:prstGeom>
                          <a:noFill/>
                          <a:ln w="9525">
                            <a:noFill/>
                            <a:miter lim="800000"/>
                            <a:headEnd/>
                            <a:tailEnd/>
                          </a:ln>
                        </pic:spPr>
                      </pic:pic>
                    </a:graphicData>
                  </a:graphic>
                </wp:inline>
              </w:drawing>
            </w:r>
          </w:p>
          <w:p w:rsidR="00D46C07" w:rsidRDefault="00D46C07" w:rsidP="007E0A2B"/>
          <w:p w:rsidR="00D46C07" w:rsidRDefault="00D46C07" w:rsidP="007E0A2B"/>
          <w:p w:rsidR="00D46C07" w:rsidRDefault="00D46C07" w:rsidP="007E0A2B"/>
        </w:tc>
        <w:tc>
          <w:tcPr>
            <w:tcW w:w="1701" w:type="dxa"/>
          </w:tcPr>
          <w:p w:rsidR="007A3CF6" w:rsidRDefault="007A3CF6" w:rsidP="005B4B05">
            <w:pPr>
              <w:cnfStyle w:val="000000100000"/>
            </w:pPr>
          </w:p>
          <w:p w:rsidR="00C03E14" w:rsidRDefault="00C03E14" w:rsidP="005B4B05">
            <w:pPr>
              <w:cnfStyle w:val="000000100000"/>
            </w:pPr>
          </w:p>
          <w:p w:rsidR="00D87A84" w:rsidRDefault="00C03E14" w:rsidP="005B4B05">
            <w:pPr>
              <w:cnfStyle w:val="000000100000"/>
            </w:pPr>
            <w:r w:rsidRPr="00C03E14">
              <w:t>Silver sulfadiazin</w:t>
            </w:r>
            <w:r w:rsidR="00D87A84">
              <w:t>e 0.1%</w:t>
            </w:r>
          </w:p>
          <w:p w:rsidR="00D87A84" w:rsidRDefault="00D87A84" w:rsidP="005B4B05">
            <w:pPr>
              <w:cnfStyle w:val="000000100000"/>
            </w:pPr>
          </w:p>
          <w:p w:rsidR="00C03E14" w:rsidRDefault="00D87A84" w:rsidP="005B4B05">
            <w:pPr>
              <w:cnfStyle w:val="000000100000"/>
            </w:pPr>
            <w:r>
              <w:t>Aluminum 5.0g%</w:t>
            </w:r>
          </w:p>
          <w:p w:rsidR="00D87A84" w:rsidRDefault="00D87A84" w:rsidP="005B4B05">
            <w:pPr>
              <w:cnfStyle w:val="000000100000"/>
            </w:pPr>
          </w:p>
          <w:p w:rsidR="00D87A84" w:rsidRDefault="00D87A84" w:rsidP="005B4B05">
            <w:pPr>
              <w:cnfStyle w:val="000000100000"/>
            </w:pPr>
            <w:r>
              <w:t>Dimethyl Dichlorovynil Phospahte</w:t>
            </w:r>
          </w:p>
          <w:p w:rsidR="00C03E14" w:rsidRDefault="00C03E14" w:rsidP="005B4B05">
            <w:pPr>
              <w:cnfStyle w:val="000000100000"/>
            </w:pPr>
          </w:p>
          <w:p w:rsidR="00C03E14" w:rsidRDefault="00D87A84" w:rsidP="005B4B05">
            <w:pPr>
              <w:cnfStyle w:val="000000100000"/>
            </w:pPr>
            <w:r w:rsidRPr="00D87A84">
              <w:t>C</w:t>
            </w:r>
            <w:r>
              <w:t>ypermethrin 0.4g%</w:t>
            </w:r>
          </w:p>
          <w:p w:rsidR="00C03E14" w:rsidRDefault="00C03E14" w:rsidP="005B4B05">
            <w:pPr>
              <w:cnfStyle w:val="000000100000"/>
            </w:pPr>
          </w:p>
          <w:p w:rsidR="00C03E14" w:rsidRPr="00C03E14" w:rsidRDefault="00C03E14" w:rsidP="00C03E14">
            <w:pPr>
              <w:cnfStyle w:val="000000100000"/>
              <w:rPr>
                <w:b/>
              </w:rPr>
            </w:pPr>
            <w:r w:rsidRPr="00C03E14">
              <w:rPr>
                <w:b/>
              </w:rPr>
              <w:t>Dosage:</w:t>
            </w:r>
          </w:p>
          <w:p w:rsidR="00C03E14" w:rsidRDefault="00C03E14" w:rsidP="00C03E14">
            <w:pPr>
              <w:cnfStyle w:val="000000100000"/>
            </w:pPr>
            <w:r w:rsidRPr="00C03E14">
              <w:rPr>
                <w:color w:val="C0504D" w:themeColor="accent2"/>
              </w:rPr>
              <w:t>Preventive</w:t>
            </w:r>
            <w:r>
              <w:t xml:space="preserve">: a single application </w:t>
            </w:r>
          </w:p>
          <w:p w:rsidR="00C03E14" w:rsidRDefault="00C03E14" w:rsidP="00C03E14">
            <w:pPr>
              <w:cnfStyle w:val="000000100000"/>
            </w:pPr>
          </w:p>
          <w:p w:rsidR="00C03E14" w:rsidRPr="007E0A2B" w:rsidRDefault="00C03E14" w:rsidP="00C03E14">
            <w:pPr>
              <w:cnfStyle w:val="000000100000"/>
            </w:pPr>
            <w:r w:rsidRPr="00C03E14">
              <w:rPr>
                <w:color w:val="C0504D" w:themeColor="accent2"/>
              </w:rPr>
              <w:t>Healing</w:t>
            </w:r>
            <w:r>
              <w:t>: a daily application usually for 4 to 5 days.</w:t>
            </w:r>
          </w:p>
        </w:tc>
        <w:tc>
          <w:tcPr>
            <w:tcW w:w="1276" w:type="dxa"/>
          </w:tcPr>
          <w:p w:rsidR="007A3CF6" w:rsidRDefault="00DA6D05" w:rsidP="005B4B05">
            <w:pPr>
              <w:cnfStyle w:val="000000100000"/>
            </w:pPr>
            <w:r>
              <w:t>Given at 3:3opm</w:t>
            </w:r>
          </w:p>
        </w:tc>
        <w:tc>
          <w:tcPr>
            <w:tcW w:w="2268" w:type="dxa"/>
          </w:tcPr>
          <w:p w:rsidR="00316CB0" w:rsidRDefault="00316CB0" w:rsidP="00316CB0">
            <w:pPr>
              <w:cnfStyle w:val="000000100000"/>
            </w:pPr>
          </w:p>
          <w:p w:rsidR="00316CB0" w:rsidRDefault="00316CB0" w:rsidP="00316CB0">
            <w:pPr>
              <w:cnfStyle w:val="000000100000"/>
            </w:pPr>
            <w:r>
              <w:t xml:space="preserve">Bactrovet Silver AM is indicated for cattle of all ages, including for newborns: It </w:t>
            </w:r>
          </w:p>
          <w:p w:rsidR="00316CB0" w:rsidRDefault="00316CB0" w:rsidP="00316CB0">
            <w:pPr>
              <w:cnfStyle w:val="000000100000"/>
            </w:pPr>
            <w:r>
              <w:t xml:space="preserve">acts as larvicide on infested wounds, with rapid healing; </w:t>
            </w:r>
          </w:p>
          <w:p w:rsidR="00316CB0" w:rsidRDefault="00316CB0" w:rsidP="00316CB0">
            <w:pPr>
              <w:cnfStyle w:val="000000100000"/>
            </w:pPr>
            <w:r>
              <w:t>Routinely applied to accidental or surgical</w:t>
            </w:r>
            <w:r w:rsidR="00C03E14">
              <w:t xml:space="preserve"> wounds (castration, dehorning), </w:t>
            </w:r>
            <w:r>
              <w:t xml:space="preserve">it eliminates bleeding from them (astringent and haemostatic effects), forming a protective film that prevents infection; </w:t>
            </w:r>
          </w:p>
          <w:p w:rsidR="00316CB0" w:rsidRDefault="00316CB0" w:rsidP="00316CB0">
            <w:pPr>
              <w:cnfStyle w:val="000000100000"/>
            </w:pPr>
            <w:r>
              <w:t xml:space="preserve">Its repellent effect prevents the treated wounds from being attacked by the flies that cause the myiasis; </w:t>
            </w:r>
          </w:p>
          <w:p w:rsidR="00316CB0" w:rsidRDefault="00316CB0" w:rsidP="00316CB0">
            <w:pPr>
              <w:cnfStyle w:val="000000100000"/>
            </w:pPr>
            <w:r>
              <w:t xml:space="preserve">Due to its high penetration and grip, Bactrovet Silver AM is excellent in curing navels; </w:t>
            </w:r>
          </w:p>
          <w:p w:rsidR="007A3CF6" w:rsidRPr="007E0A2B" w:rsidRDefault="00316CB0" w:rsidP="00316CB0">
            <w:pPr>
              <w:cnfStyle w:val="000000100000"/>
            </w:pPr>
            <w:r>
              <w:t xml:space="preserve">The multi-directional valve of Bactrovet Silver AM allows to treat wounds of difficult access, by the </w:t>
            </w:r>
            <w:r>
              <w:lastRenderedPageBreak/>
              <w:t>maneuver of the packaging in any desired direction.</w:t>
            </w:r>
          </w:p>
        </w:tc>
        <w:tc>
          <w:tcPr>
            <w:tcW w:w="2409" w:type="dxa"/>
          </w:tcPr>
          <w:p w:rsidR="007A3CF6" w:rsidRPr="007A3CF6" w:rsidRDefault="007A3CF6" w:rsidP="005B4B05">
            <w:pPr>
              <w:cnfStyle w:val="000000100000"/>
            </w:pPr>
          </w:p>
        </w:tc>
        <w:tc>
          <w:tcPr>
            <w:tcW w:w="2410" w:type="dxa"/>
          </w:tcPr>
          <w:p w:rsidR="007A3CF6" w:rsidRDefault="00C03E14" w:rsidP="005B4B05">
            <w:pPr>
              <w:cnfStyle w:val="000000100000"/>
              <w:rPr>
                <w:b/>
              </w:rPr>
            </w:pPr>
            <w:r>
              <w:rPr>
                <w:b/>
              </w:rPr>
              <w:t>Route: topical</w:t>
            </w:r>
          </w:p>
        </w:tc>
        <w:tc>
          <w:tcPr>
            <w:tcW w:w="2410" w:type="dxa"/>
          </w:tcPr>
          <w:p w:rsidR="00C03E14" w:rsidRPr="00C03E14" w:rsidRDefault="00C03E14" w:rsidP="00C03E14">
            <w:pPr>
              <w:cnfStyle w:val="000000100000"/>
              <w:rPr>
                <w:b/>
              </w:rPr>
            </w:pPr>
            <w:r w:rsidRPr="00C03E14">
              <w:rPr>
                <w:b/>
              </w:rPr>
              <w:t>Shake the bottle well before each application. Place the vial at a distance of approximately 10 cm f</w:t>
            </w:r>
            <w:r>
              <w:rPr>
                <w:b/>
              </w:rPr>
              <w:t>rom the wound or infested area.</w:t>
            </w:r>
            <w:r w:rsidRPr="00C03E14">
              <w:rPr>
                <w:b/>
              </w:rPr>
              <w:t xml:space="preserve"> </w:t>
            </w:r>
          </w:p>
          <w:p w:rsidR="00C03E14" w:rsidRPr="00C03E14" w:rsidRDefault="00C03E14" w:rsidP="00C03E14">
            <w:pPr>
              <w:cnfStyle w:val="000000100000"/>
              <w:rPr>
                <w:b/>
              </w:rPr>
            </w:pPr>
          </w:p>
          <w:p w:rsidR="00C03E14" w:rsidRDefault="00C03E14" w:rsidP="00C03E14">
            <w:pPr>
              <w:cnfStyle w:val="000000100000"/>
              <w:rPr>
                <w:b/>
              </w:rPr>
            </w:pPr>
            <w:r w:rsidRPr="00C03E14">
              <w:rPr>
                <w:b/>
              </w:rPr>
              <w:t xml:space="preserve">- </w:t>
            </w:r>
            <w:r w:rsidRPr="00C03E14">
              <w:rPr>
                <w:b/>
                <w:color w:val="C0504D" w:themeColor="accent2"/>
              </w:rPr>
              <w:t>Treatment of myiasis</w:t>
            </w:r>
            <w:r w:rsidRPr="00C03E14">
              <w:rPr>
                <w:b/>
              </w:rPr>
              <w:t>: carefully introduce the product into the cavities where the larvae are housed. In cases of very serious myiasis, it is advisable to remove the larvae from the affected areas and clean it before applying the product.</w:t>
            </w:r>
          </w:p>
          <w:p w:rsidR="00C03E14" w:rsidRDefault="00C03E14" w:rsidP="00C03E14">
            <w:pPr>
              <w:cnfStyle w:val="000000100000"/>
              <w:rPr>
                <w:b/>
              </w:rPr>
            </w:pPr>
          </w:p>
          <w:p w:rsidR="00C03E14" w:rsidRPr="00C03E14" w:rsidRDefault="00C03E14" w:rsidP="00C03E14">
            <w:pPr>
              <w:cnfStyle w:val="000000100000"/>
              <w:rPr>
                <w:b/>
              </w:rPr>
            </w:pPr>
          </w:p>
          <w:p w:rsidR="007A3CF6" w:rsidRPr="007A3CF6" w:rsidRDefault="00C03E14" w:rsidP="00C03E14">
            <w:pPr>
              <w:cnfStyle w:val="000000100000"/>
              <w:rPr>
                <w:b/>
              </w:rPr>
            </w:pPr>
            <w:r w:rsidRPr="00C03E14">
              <w:rPr>
                <w:b/>
              </w:rPr>
              <w:t xml:space="preserve">- </w:t>
            </w:r>
            <w:r w:rsidRPr="00C03E14">
              <w:rPr>
                <w:b/>
                <w:color w:val="C0504D" w:themeColor="accent2"/>
              </w:rPr>
              <w:t>Prevention of myiasis and scarring</w:t>
            </w:r>
            <w:r w:rsidRPr="00C03E14">
              <w:rPr>
                <w:b/>
              </w:rPr>
              <w:t>: apply directly on all recent injury caused by accident or by castration, dehorning, etc.</w:t>
            </w:r>
          </w:p>
        </w:tc>
      </w:tr>
      <w:tr w:rsidR="00D87A84" w:rsidTr="00D87A84">
        <w:trPr>
          <w:cnfStyle w:val="000000010000"/>
        </w:trPr>
        <w:tc>
          <w:tcPr>
            <w:cnfStyle w:val="001000000000"/>
            <w:tcW w:w="2411" w:type="dxa"/>
          </w:tcPr>
          <w:p w:rsidR="00D87A84" w:rsidRDefault="00D87A84" w:rsidP="00D87A84">
            <w:pPr>
              <w:ind w:firstLine="720"/>
            </w:pPr>
            <w:r>
              <w:lastRenderedPageBreak/>
              <w:t>Furacin</w:t>
            </w: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F780F" w:rsidP="00D87A84">
            <w:pPr>
              <w:ind w:firstLine="720"/>
            </w:pPr>
            <w:r w:rsidRPr="00DF780F">
              <w:drawing>
                <wp:inline distT="0" distB="0" distL="0" distR="0">
                  <wp:extent cx="895350" cy="1213386"/>
                  <wp:effectExtent l="19050" t="0" r="0" b="0"/>
                  <wp:docPr id="5" name="Picture 16" descr="Image result for furacin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uracin cream"/>
                          <pic:cNvPicPr>
                            <a:picLocks noChangeAspect="1" noChangeArrowheads="1"/>
                          </pic:cNvPicPr>
                        </pic:nvPicPr>
                        <pic:blipFill>
                          <a:blip r:embed="rId9"/>
                          <a:srcRect/>
                          <a:stretch>
                            <a:fillRect/>
                          </a:stretch>
                        </pic:blipFill>
                        <pic:spPr bwMode="auto">
                          <a:xfrm>
                            <a:off x="0" y="0"/>
                            <a:ext cx="898121" cy="1217141"/>
                          </a:xfrm>
                          <a:prstGeom prst="rect">
                            <a:avLst/>
                          </a:prstGeom>
                          <a:noFill/>
                          <a:ln w="9525">
                            <a:noFill/>
                            <a:miter lim="800000"/>
                            <a:headEnd/>
                            <a:tailEnd/>
                          </a:ln>
                        </pic:spPr>
                      </pic:pic>
                    </a:graphicData>
                  </a:graphic>
                </wp:inline>
              </w:drawing>
            </w: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710587" w:rsidRDefault="00710587"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tc>
        <w:tc>
          <w:tcPr>
            <w:tcW w:w="1701" w:type="dxa"/>
          </w:tcPr>
          <w:p w:rsidR="00D87A84" w:rsidRDefault="00DF780F" w:rsidP="005B4B05">
            <w:pPr>
              <w:cnfStyle w:val="000000010000"/>
            </w:pPr>
            <w:r w:rsidRPr="00DF780F">
              <w:t>0.2% nitrofurazone in a water-soluble base.</w:t>
            </w:r>
          </w:p>
        </w:tc>
        <w:tc>
          <w:tcPr>
            <w:tcW w:w="1276" w:type="dxa"/>
          </w:tcPr>
          <w:p w:rsidR="00D87A84" w:rsidRDefault="00D87A84" w:rsidP="005B4B05">
            <w:pPr>
              <w:cnfStyle w:val="000000010000"/>
            </w:pPr>
          </w:p>
        </w:tc>
        <w:tc>
          <w:tcPr>
            <w:tcW w:w="2268" w:type="dxa"/>
          </w:tcPr>
          <w:p w:rsidR="00D87A84" w:rsidRDefault="00DF780F" w:rsidP="00316CB0">
            <w:pPr>
              <w:cnfStyle w:val="000000010000"/>
            </w:pPr>
            <w:r w:rsidRPr="00DF780F">
              <w:t>Nitrofurazone Ointment is a water-soluble antibacterial ointment for the prevention or treatment of surface bacterial infections of wounds, burns, and cutaneous ulcers</w:t>
            </w:r>
          </w:p>
        </w:tc>
        <w:tc>
          <w:tcPr>
            <w:tcW w:w="2409" w:type="dxa"/>
          </w:tcPr>
          <w:p w:rsidR="00D87A84" w:rsidRPr="007A3CF6" w:rsidRDefault="00DF780F" w:rsidP="005B4B05">
            <w:pPr>
              <w:cnfStyle w:val="000000010000"/>
            </w:pPr>
            <w:r w:rsidRPr="00DF780F">
              <w:t>Sensitization to Furacin occasionally occurs and treatment should be stopped if pruritus, irritation, erythema, local edema</w:t>
            </w:r>
          </w:p>
        </w:tc>
        <w:tc>
          <w:tcPr>
            <w:tcW w:w="2410" w:type="dxa"/>
          </w:tcPr>
          <w:p w:rsidR="00D87A84" w:rsidRDefault="00DF780F" w:rsidP="005B4B05">
            <w:pPr>
              <w:cnfStyle w:val="000000010000"/>
              <w:rPr>
                <w:b/>
              </w:rPr>
            </w:pPr>
            <w:r>
              <w:rPr>
                <w:b/>
              </w:rPr>
              <w:t>Route: topical</w:t>
            </w:r>
          </w:p>
        </w:tc>
        <w:tc>
          <w:tcPr>
            <w:tcW w:w="2410" w:type="dxa"/>
          </w:tcPr>
          <w:p w:rsidR="00DF780F" w:rsidRPr="00DF780F" w:rsidRDefault="00DF780F" w:rsidP="00DF780F">
            <w:pPr>
              <w:cnfStyle w:val="000000010000"/>
              <w:rPr>
                <w:b/>
              </w:rPr>
            </w:pPr>
            <w:r w:rsidRPr="00DF780F">
              <w:rPr>
                <w:b/>
              </w:rPr>
              <w:t>Apply directly on the lesion with a spatula or first place on a piece of gauze. Application of a bandage is optional.</w:t>
            </w:r>
          </w:p>
          <w:p w:rsidR="00DF780F" w:rsidRPr="00DF780F" w:rsidRDefault="00DF780F" w:rsidP="00DF780F">
            <w:pPr>
              <w:cnfStyle w:val="000000010000"/>
              <w:rPr>
                <w:b/>
              </w:rPr>
            </w:pPr>
          </w:p>
          <w:p w:rsidR="00DF780F" w:rsidRPr="00C03E14" w:rsidRDefault="00DF780F" w:rsidP="00DF780F">
            <w:pPr>
              <w:cnfStyle w:val="000000010000"/>
              <w:rPr>
                <w:b/>
              </w:rPr>
            </w:pPr>
            <w:r w:rsidRPr="00DF780F">
              <w:rPr>
                <w:b/>
              </w:rPr>
              <w:t>This preparation should be in contact with the lesion for at least 24 hours. The dressing may be changed several times daily or left on the lesion for a longer period.</w:t>
            </w:r>
          </w:p>
        </w:tc>
      </w:tr>
      <w:tr w:rsidR="00710587" w:rsidTr="00D87A84">
        <w:trPr>
          <w:cnfStyle w:val="000000100000"/>
        </w:trPr>
        <w:tc>
          <w:tcPr>
            <w:cnfStyle w:val="001000000000"/>
            <w:tcW w:w="2411" w:type="dxa"/>
          </w:tcPr>
          <w:p w:rsidR="00710587" w:rsidRDefault="00710587" w:rsidP="00D87A84">
            <w:pPr>
              <w:ind w:firstLine="720"/>
            </w:pPr>
            <w:r>
              <w:lastRenderedPageBreak/>
              <w:t>Banamine</w:t>
            </w:r>
          </w:p>
          <w:p w:rsidR="002D3C4B" w:rsidRDefault="002D3C4B" w:rsidP="00D87A84">
            <w:pPr>
              <w:ind w:firstLine="720"/>
            </w:pPr>
          </w:p>
          <w:p w:rsidR="002D3C4B" w:rsidRDefault="002D3C4B" w:rsidP="00D87A84">
            <w:pPr>
              <w:ind w:firstLine="720"/>
            </w:pPr>
            <w:r w:rsidRPr="002D3C4B">
              <w:drawing>
                <wp:inline distT="0" distB="0" distL="0" distR="0">
                  <wp:extent cx="852820" cy="1636226"/>
                  <wp:effectExtent l="19050" t="0" r="4430" b="0"/>
                  <wp:docPr id="6" name="Picture 19" descr="11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100x500"/>
                          <pic:cNvPicPr>
                            <a:picLocks noChangeAspect="1" noChangeArrowheads="1"/>
                          </pic:cNvPicPr>
                        </pic:nvPicPr>
                        <pic:blipFill>
                          <a:blip r:embed="rId10"/>
                          <a:srcRect l="50793"/>
                          <a:stretch>
                            <a:fillRect/>
                          </a:stretch>
                        </pic:blipFill>
                        <pic:spPr bwMode="auto">
                          <a:xfrm>
                            <a:off x="0" y="0"/>
                            <a:ext cx="853631" cy="1637781"/>
                          </a:xfrm>
                          <a:prstGeom prst="rect">
                            <a:avLst/>
                          </a:prstGeom>
                          <a:noFill/>
                          <a:ln w="9525">
                            <a:noFill/>
                            <a:miter lim="800000"/>
                            <a:headEnd/>
                            <a:tailEnd/>
                          </a:ln>
                        </pic:spPr>
                      </pic:pic>
                    </a:graphicData>
                  </a:graphic>
                </wp:inline>
              </w:drawing>
            </w:r>
          </w:p>
        </w:tc>
        <w:tc>
          <w:tcPr>
            <w:tcW w:w="1701" w:type="dxa"/>
          </w:tcPr>
          <w:p w:rsidR="00710587" w:rsidRDefault="00710587" w:rsidP="00710587">
            <w:pPr>
              <w:cnfStyle w:val="000000100000"/>
            </w:pPr>
            <w:r>
              <w:t>FLUNIXIN MEGLUMINE)</w:t>
            </w:r>
          </w:p>
          <w:p w:rsidR="00710587" w:rsidRDefault="00710587" w:rsidP="00710587">
            <w:pPr>
              <w:cnfStyle w:val="000000100000"/>
            </w:pPr>
          </w:p>
          <w:p w:rsidR="00710587" w:rsidRPr="00DF780F" w:rsidRDefault="00710587" w:rsidP="00710587">
            <w:pPr>
              <w:cnfStyle w:val="000000100000"/>
            </w:pPr>
            <w:r>
              <w:t>5</w:t>
            </w:r>
            <w:r>
              <w:t>0 mg/m</w:t>
            </w:r>
            <w:r>
              <w:t>l</w:t>
            </w:r>
          </w:p>
        </w:tc>
        <w:tc>
          <w:tcPr>
            <w:tcW w:w="1276" w:type="dxa"/>
          </w:tcPr>
          <w:p w:rsidR="00DA6D05" w:rsidRDefault="00DA6D05" w:rsidP="005B4B05">
            <w:pPr>
              <w:cnfStyle w:val="000000100000"/>
            </w:pPr>
            <w:r>
              <w:t>Given at 2:38pm</w:t>
            </w:r>
          </w:p>
          <w:p w:rsidR="00DA6D05" w:rsidRDefault="00DA6D05" w:rsidP="005B4B05">
            <w:pPr>
              <w:cnfStyle w:val="000000100000"/>
            </w:pPr>
          </w:p>
          <w:p w:rsidR="00710587" w:rsidRDefault="002D3C4B" w:rsidP="005B4B05">
            <w:pPr>
              <w:cnfStyle w:val="000000100000"/>
            </w:pPr>
            <w:r>
              <w:t>ONSET- 2hrs</w:t>
            </w:r>
          </w:p>
          <w:p w:rsidR="002D3C4B" w:rsidRDefault="002D3C4B" w:rsidP="005B4B05">
            <w:pPr>
              <w:cnfStyle w:val="000000100000"/>
            </w:pPr>
          </w:p>
          <w:p w:rsidR="002D3C4B" w:rsidRDefault="002D3C4B" w:rsidP="005B4B05">
            <w:pPr>
              <w:cnfStyle w:val="000000100000"/>
            </w:pPr>
            <w:r>
              <w:t>Duration – 30hrs</w:t>
            </w:r>
          </w:p>
        </w:tc>
        <w:tc>
          <w:tcPr>
            <w:tcW w:w="2268" w:type="dxa"/>
          </w:tcPr>
          <w:p w:rsidR="00710587" w:rsidRPr="00DF780F" w:rsidRDefault="00710587" w:rsidP="00316CB0">
            <w:pPr>
              <w:cnfStyle w:val="000000100000"/>
            </w:pPr>
            <w:r>
              <w:t>F</w:t>
            </w:r>
            <w:r w:rsidRPr="00710587">
              <w:t>or the control of pyrexia associated with bovine respiratory disease, endotoxemia and acute bovine mastitis. BANAMINE Injectable Solution is also indicated for the control of inflammation in endotoxemia.</w:t>
            </w:r>
          </w:p>
        </w:tc>
        <w:tc>
          <w:tcPr>
            <w:tcW w:w="2409" w:type="dxa"/>
          </w:tcPr>
          <w:p w:rsidR="00710587" w:rsidRPr="00DF780F" w:rsidRDefault="00710587" w:rsidP="005B4B05">
            <w:pPr>
              <w:cnfStyle w:val="000000100000"/>
            </w:pPr>
            <w:r w:rsidRPr="00710587">
              <w:t>NSAIDs inhibit production of prostaglandins which are important in signaling the initiation of parturition. The use of flunixin can delay parturition and prolong labor which may increase the risk of stillbirth. Do not use BANAMINE Injectable Solution within 48 hours of expected parturition. Do not use in animals showing hypersensitivity to flunixin meglumine. Use judiciously when renal impairment or gastric ulceration are suspected.</w:t>
            </w:r>
          </w:p>
        </w:tc>
        <w:tc>
          <w:tcPr>
            <w:tcW w:w="2410" w:type="dxa"/>
          </w:tcPr>
          <w:p w:rsidR="00710587" w:rsidRDefault="00710587" w:rsidP="005B4B05">
            <w:pPr>
              <w:cnfStyle w:val="000000100000"/>
              <w:rPr>
                <w:b/>
              </w:rPr>
            </w:pPr>
            <w:r w:rsidRPr="00710587">
              <w:rPr>
                <w:b/>
              </w:rPr>
              <w:t>The recommended dose for control of pyrexia associated with bovine respiratory disease and endotoxemia and control of inflammation in endotoxemia, is 1.1 to 2.2 mg/kg (0.5 to 1 mg/lb; 1 to 2 mL per 100 lbs) of body weight given by slow intravenous administration either once a day as a single dose or divided into two doses administered at 12-hour intervals for up to 3 days. The total daily dose should not exceed 2.2 mg/kg (1.0 mg/lb) of body weight. Avoid rapid intravenous administration of the drug.</w:t>
            </w:r>
          </w:p>
          <w:p w:rsidR="00DA6D05" w:rsidRDefault="00DA6D05" w:rsidP="005B4B05">
            <w:pPr>
              <w:cnfStyle w:val="000000100000"/>
              <w:rPr>
                <w:b/>
              </w:rPr>
            </w:pPr>
          </w:p>
          <w:p w:rsidR="00DA6D05" w:rsidRDefault="00DA6D05" w:rsidP="005B4B05">
            <w:pPr>
              <w:cnfStyle w:val="000000100000"/>
              <w:rPr>
                <w:b/>
              </w:rPr>
            </w:pPr>
          </w:p>
        </w:tc>
        <w:tc>
          <w:tcPr>
            <w:tcW w:w="2410" w:type="dxa"/>
          </w:tcPr>
          <w:p w:rsidR="00710587" w:rsidRDefault="00710587" w:rsidP="00DF780F">
            <w:pPr>
              <w:cnfStyle w:val="000000100000"/>
              <w:rPr>
                <w:b/>
              </w:rPr>
            </w:pPr>
            <w:r w:rsidRPr="00710587">
              <w:rPr>
                <w:b/>
              </w:rPr>
              <w:t>Cattle must not be slaughtered for human consumption within 4 days of the last treatment. Milk that has been taken during treatment and for 36 hours after the last treatment must not be used for foo</w:t>
            </w:r>
            <w:r>
              <w:rPr>
                <w:b/>
              </w:rPr>
              <w:t>d</w:t>
            </w: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Default="002D3C4B" w:rsidP="00DF780F">
            <w:pPr>
              <w:cnfStyle w:val="000000100000"/>
              <w:rPr>
                <w:b/>
              </w:rPr>
            </w:pPr>
          </w:p>
          <w:p w:rsidR="002D3C4B" w:rsidRPr="00DF780F" w:rsidRDefault="002D3C4B" w:rsidP="00DF780F">
            <w:pPr>
              <w:cnfStyle w:val="000000100000"/>
              <w:rPr>
                <w:b/>
              </w:rPr>
            </w:pPr>
          </w:p>
        </w:tc>
      </w:tr>
      <w:tr w:rsidR="002D3C4B" w:rsidTr="00D87A84">
        <w:trPr>
          <w:cnfStyle w:val="000000010000"/>
        </w:trPr>
        <w:tc>
          <w:tcPr>
            <w:cnfStyle w:val="001000000000"/>
            <w:tcW w:w="2411" w:type="dxa"/>
          </w:tcPr>
          <w:p w:rsidR="002D3C4B" w:rsidRDefault="002D3C4B" w:rsidP="00D87A84">
            <w:pPr>
              <w:ind w:firstLine="720"/>
            </w:pPr>
          </w:p>
          <w:p w:rsidR="002D3C4B" w:rsidRDefault="002D3C4B" w:rsidP="002D3C4B">
            <w:r>
              <w:t>Combikel 40 LA</w:t>
            </w:r>
          </w:p>
          <w:p w:rsidR="002D3C4B" w:rsidRDefault="002D3C4B" w:rsidP="002D3C4B"/>
          <w:p w:rsidR="002D3C4B" w:rsidRDefault="002D3C4B" w:rsidP="002D3C4B">
            <w:r w:rsidRPr="002D3C4B">
              <w:drawing>
                <wp:inline distT="0" distB="0" distL="0" distR="0">
                  <wp:extent cx="1329070" cy="2062716"/>
                  <wp:effectExtent l="19050" t="0" r="4430" b="0"/>
                  <wp:docPr id="8" name="Picture 22" descr="Image result for combikel 40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combikel 40 la"/>
                          <pic:cNvPicPr>
                            <a:picLocks noChangeAspect="1" noChangeArrowheads="1"/>
                          </pic:cNvPicPr>
                        </pic:nvPicPr>
                        <pic:blipFill>
                          <a:blip r:embed="rId11"/>
                          <a:srcRect l="15060" r="20489"/>
                          <a:stretch>
                            <a:fillRect/>
                          </a:stretch>
                        </pic:blipFill>
                        <pic:spPr bwMode="auto">
                          <a:xfrm>
                            <a:off x="0" y="0"/>
                            <a:ext cx="1329070" cy="2062716"/>
                          </a:xfrm>
                          <a:prstGeom prst="rect">
                            <a:avLst/>
                          </a:prstGeom>
                          <a:noFill/>
                          <a:ln w="9525">
                            <a:noFill/>
                            <a:miter lim="800000"/>
                            <a:headEnd/>
                            <a:tailEnd/>
                          </a:ln>
                        </pic:spPr>
                      </pic:pic>
                    </a:graphicData>
                  </a:graphic>
                </wp:inline>
              </w:drawing>
            </w:r>
          </w:p>
        </w:tc>
        <w:tc>
          <w:tcPr>
            <w:tcW w:w="1701" w:type="dxa"/>
          </w:tcPr>
          <w:p w:rsidR="002D3C4B" w:rsidRDefault="002D3C4B" w:rsidP="00710587">
            <w:pPr>
              <w:cnfStyle w:val="000000010000"/>
            </w:pPr>
            <w:r w:rsidRPr="002D3C4B">
              <w:rPr>
                <w:color w:val="C0504D" w:themeColor="accent2"/>
              </w:rPr>
              <w:t>Procaine benzylpenicillin</w:t>
            </w:r>
            <w:r w:rsidRPr="002D3C4B">
              <w:t xml:space="preserve"> eq.120 000 I.U. </w:t>
            </w:r>
            <w:r>
              <w:t>–</w:t>
            </w:r>
          </w:p>
          <w:p w:rsidR="002D3C4B" w:rsidRDefault="002D3C4B" w:rsidP="00710587">
            <w:pPr>
              <w:cnfStyle w:val="000000010000"/>
            </w:pPr>
            <w:r w:rsidRPr="002D3C4B">
              <w:t xml:space="preserve"> </w:t>
            </w:r>
            <w:r w:rsidRPr="002D3C4B">
              <w:rPr>
                <w:color w:val="C0504D" w:themeColor="accent2"/>
              </w:rPr>
              <w:t>Benzathine benzylpenicillin</w:t>
            </w:r>
            <w:r w:rsidRPr="002D3C4B">
              <w:t xml:space="preserve"> eq.80 000 I.U. - </w:t>
            </w:r>
            <w:r w:rsidRPr="002D3C4B">
              <w:rPr>
                <w:color w:val="C0504D" w:themeColor="accent2"/>
              </w:rPr>
              <w:t>Dihydrostreptomycin sulphate</w:t>
            </w:r>
            <w:r w:rsidRPr="002D3C4B">
              <w:t xml:space="preserve"> eq. 200 mg base  - Excipients up to 1 ml</w:t>
            </w:r>
          </w:p>
        </w:tc>
        <w:tc>
          <w:tcPr>
            <w:tcW w:w="1276" w:type="dxa"/>
          </w:tcPr>
          <w:p w:rsidR="00DA6D05" w:rsidRDefault="00DA6D05" w:rsidP="005B4B05">
            <w:pPr>
              <w:cnfStyle w:val="000000010000"/>
            </w:pPr>
            <w:r>
              <w:t>Given at 2:45pm</w:t>
            </w:r>
          </w:p>
          <w:p w:rsidR="00DA6D05" w:rsidRDefault="00DA6D05" w:rsidP="005B4B05">
            <w:pPr>
              <w:cnfStyle w:val="000000010000"/>
            </w:pPr>
          </w:p>
          <w:p w:rsidR="002D3C4B" w:rsidRDefault="00DA6D05" w:rsidP="005B4B05">
            <w:pPr>
              <w:cnfStyle w:val="000000010000"/>
            </w:pPr>
            <w:r w:rsidRPr="00DA6D05">
              <w:t>3 day duration of activity with minimum adverse effects</w:t>
            </w:r>
          </w:p>
        </w:tc>
        <w:tc>
          <w:tcPr>
            <w:tcW w:w="2268" w:type="dxa"/>
          </w:tcPr>
          <w:p w:rsidR="002D3C4B" w:rsidRDefault="002D3C4B" w:rsidP="002D3C4B">
            <w:pPr>
              <w:cnfStyle w:val="000000010000"/>
            </w:pPr>
            <w:r>
              <w:t xml:space="preserve">Prevention and treatment of infections caused by penicillin G and/or DHS susceptible microorganisms such as respiratory tract infections (shipping fever, bronchopneumonias, upper respiratory tract infections), uro-genital tract infections, necrobacillosis in calves and piglets, anaerobe infections (clostridial infections, tetanus, anthrax), polyarthritis (navel ill), mastitis, septicaemia, bacterial infections secondary to viral ones.  </w:t>
            </w:r>
          </w:p>
          <w:p w:rsidR="002D3C4B" w:rsidRDefault="002D3C4B" w:rsidP="002D3C4B">
            <w:pPr>
              <w:cnfStyle w:val="000000010000"/>
            </w:pPr>
            <w:r>
              <w:t>The drug also can be used in postoperative prevention of infections</w:t>
            </w:r>
          </w:p>
        </w:tc>
        <w:tc>
          <w:tcPr>
            <w:tcW w:w="2409" w:type="dxa"/>
          </w:tcPr>
          <w:p w:rsidR="002D3C4B" w:rsidRDefault="002D3C4B" w:rsidP="002D3C4B">
            <w:pPr>
              <w:cnfStyle w:val="000000010000"/>
            </w:pPr>
            <w:r>
              <w:t xml:space="preserve">With the administration of the drug, rapidly developing allergic reactions sometimes appear. Treatment of allergic reactions: glucocorticosteroids or / and antihistamines. Possible neural phenomena, neuromuscular blockade, vomiting, febrile state, abortions in pigs. Prolonged use of the drug may lead to deafness, vestibulotoxic and nephrotoxic symptoms. </w:t>
            </w:r>
          </w:p>
          <w:p w:rsidR="002D3C4B" w:rsidRDefault="002D3C4B" w:rsidP="002D3C4B">
            <w:pPr>
              <w:cnfStyle w:val="000000010000"/>
            </w:pPr>
          </w:p>
          <w:p w:rsidR="002D3C4B" w:rsidRDefault="002D3C4B" w:rsidP="002D3C4B">
            <w:pPr>
              <w:cnfStyle w:val="000000010000"/>
            </w:pPr>
            <w:r>
              <w:t>Contraindications.</w:t>
            </w:r>
          </w:p>
          <w:p w:rsidR="002D3C4B" w:rsidRDefault="002D3C4B" w:rsidP="002D3C4B">
            <w:pPr>
              <w:cnfStyle w:val="000000010000"/>
            </w:pPr>
            <w:r>
              <w:t xml:space="preserve">Do not use the drug with individual hypersensitivity to one of the components. Do not use lactating animal if milk is used for food purposes. Do not use intravenously. </w:t>
            </w:r>
          </w:p>
          <w:p w:rsidR="002D3C4B" w:rsidRPr="00710587" w:rsidRDefault="002D3C4B" w:rsidP="002D3C4B">
            <w:pPr>
              <w:cnfStyle w:val="000000010000"/>
            </w:pPr>
            <w:r>
              <w:t>Do not administer to animals with kidney failure</w:t>
            </w:r>
          </w:p>
        </w:tc>
        <w:tc>
          <w:tcPr>
            <w:tcW w:w="2410" w:type="dxa"/>
          </w:tcPr>
          <w:p w:rsidR="002D3C4B" w:rsidRDefault="002D3C4B" w:rsidP="005B4B05">
            <w:pPr>
              <w:cnfStyle w:val="000000010000"/>
              <w:rPr>
                <w:b/>
              </w:rPr>
            </w:pPr>
            <w:r>
              <w:rPr>
                <w:b/>
              </w:rPr>
              <w:t>Route: IM</w:t>
            </w:r>
          </w:p>
          <w:p w:rsidR="00DA6D05" w:rsidRPr="00710587" w:rsidRDefault="00DA6D05" w:rsidP="005B4B05">
            <w:pPr>
              <w:cnfStyle w:val="000000010000"/>
              <w:rPr>
                <w:b/>
              </w:rPr>
            </w:pPr>
          </w:p>
        </w:tc>
        <w:tc>
          <w:tcPr>
            <w:tcW w:w="2410" w:type="dxa"/>
          </w:tcPr>
          <w:p w:rsidR="00DA6D05" w:rsidRDefault="002D3C4B" w:rsidP="00DF780F">
            <w:pPr>
              <w:cnfStyle w:val="000000010000"/>
            </w:pPr>
            <w:r>
              <w:rPr>
                <w:b/>
              </w:rPr>
              <w:t>Dose</w:t>
            </w:r>
            <w:r>
              <w:t xml:space="preserve"> </w:t>
            </w:r>
            <w:r w:rsidR="00DA6D05">
              <w:t>–</w:t>
            </w:r>
            <w:r>
              <w:t xml:space="preserve"> </w:t>
            </w:r>
          </w:p>
          <w:p w:rsidR="00DA6D05" w:rsidRDefault="00DA6D05" w:rsidP="00DF780F">
            <w:pPr>
              <w:cnfStyle w:val="000000010000"/>
            </w:pPr>
            <w:r w:rsidRPr="00DA6D05">
              <w:t>Give a dose of 20,000I.U/kg (conc. 200,000I.U/ml) IM before the surgical procedure so the animal is protected for possible intra-operative infections.</w:t>
            </w:r>
          </w:p>
          <w:p w:rsidR="00DA6D05" w:rsidRDefault="00DA6D05" w:rsidP="00DF780F">
            <w:pPr>
              <w:cnfStyle w:val="000000010000"/>
            </w:pPr>
          </w:p>
          <w:p w:rsidR="002D3C4B" w:rsidRDefault="002D3C4B" w:rsidP="00DF780F">
            <w:pPr>
              <w:cnfStyle w:val="000000010000"/>
              <w:rPr>
                <w:b/>
              </w:rPr>
            </w:pPr>
            <w:r>
              <w:t xml:space="preserve">Cattle, horses - 1 ml of the drug for 10-20 kg of animal weight once a day. </w:t>
            </w:r>
          </w:p>
          <w:p w:rsidR="002D3C4B" w:rsidRPr="00710587" w:rsidRDefault="002D3C4B" w:rsidP="00DF780F">
            <w:pPr>
              <w:cnfStyle w:val="000000010000"/>
              <w:rPr>
                <w:b/>
              </w:rPr>
            </w:pPr>
          </w:p>
        </w:tc>
      </w:tr>
    </w:tbl>
    <w:p w:rsidR="007E0A2B" w:rsidRDefault="007E0A2B"/>
    <w:p w:rsidR="007E0A2B" w:rsidRDefault="007E0A2B" w:rsidP="007E0A2B"/>
    <w:p w:rsidR="000D2674" w:rsidRDefault="007E0A2B" w:rsidP="007A3CF6">
      <w:pPr>
        <w:tabs>
          <w:tab w:val="left" w:pos="1021"/>
          <w:tab w:val="left" w:pos="3818"/>
        </w:tabs>
      </w:pPr>
      <w:r>
        <w:tab/>
      </w:r>
      <w:r w:rsidR="007A3CF6">
        <w:tab/>
      </w:r>
    </w:p>
    <w:p w:rsidR="007A3CF6" w:rsidRPr="007E0A2B" w:rsidRDefault="007A3CF6" w:rsidP="007A3CF6">
      <w:pPr>
        <w:tabs>
          <w:tab w:val="left" w:pos="1021"/>
          <w:tab w:val="left" w:pos="3818"/>
        </w:tabs>
      </w:pPr>
    </w:p>
    <w:sectPr w:rsidR="007A3CF6" w:rsidRPr="007E0A2B" w:rsidSect="00C57A36">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220" w:rsidRDefault="007C1220" w:rsidP="00D46C07">
      <w:pPr>
        <w:spacing w:after="0" w:line="240" w:lineRule="auto"/>
      </w:pPr>
      <w:r>
        <w:separator/>
      </w:r>
    </w:p>
  </w:endnote>
  <w:endnote w:type="continuationSeparator" w:id="1">
    <w:p w:rsidR="007C1220" w:rsidRDefault="007C1220" w:rsidP="00D46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220" w:rsidRDefault="007C1220" w:rsidP="00D46C07">
      <w:pPr>
        <w:spacing w:after="0" w:line="240" w:lineRule="auto"/>
      </w:pPr>
      <w:r>
        <w:separator/>
      </w:r>
    </w:p>
  </w:footnote>
  <w:footnote w:type="continuationSeparator" w:id="1">
    <w:p w:rsidR="007C1220" w:rsidRDefault="007C1220" w:rsidP="00D46C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57A36"/>
    <w:rsid w:val="000D2674"/>
    <w:rsid w:val="002D3C4B"/>
    <w:rsid w:val="00316CB0"/>
    <w:rsid w:val="00710587"/>
    <w:rsid w:val="007A3CF6"/>
    <w:rsid w:val="007C1220"/>
    <w:rsid w:val="007E0A2B"/>
    <w:rsid w:val="008853C2"/>
    <w:rsid w:val="00C03E14"/>
    <w:rsid w:val="00C57A36"/>
    <w:rsid w:val="00D46C07"/>
    <w:rsid w:val="00D87A84"/>
    <w:rsid w:val="00DA6D05"/>
    <w:rsid w:val="00DF780F"/>
    <w:rsid w:val="00F02D94"/>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4">
    <w:name w:val="Light Grid Accent 4"/>
    <w:basedOn w:val="TableNormal"/>
    <w:uiPriority w:val="62"/>
    <w:rsid w:val="00C57A3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BalloonText">
    <w:name w:val="Balloon Text"/>
    <w:basedOn w:val="Normal"/>
    <w:link w:val="BalloonTextChar"/>
    <w:uiPriority w:val="99"/>
    <w:semiHidden/>
    <w:unhideWhenUsed/>
    <w:rsid w:val="00C57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A36"/>
    <w:rPr>
      <w:rFonts w:ascii="Tahoma" w:hAnsi="Tahoma" w:cs="Tahoma"/>
      <w:sz w:val="16"/>
      <w:szCs w:val="16"/>
    </w:rPr>
  </w:style>
  <w:style w:type="paragraph" w:styleId="Header">
    <w:name w:val="header"/>
    <w:basedOn w:val="Normal"/>
    <w:link w:val="HeaderChar"/>
    <w:uiPriority w:val="99"/>
    <w:semiHidden/>
    <w:unhideWhenUsed/>
    <w:rsid w:val="00D46C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6C07"/>
  </w:style>
  <w:style w:type="paragraph" w:styleId="Footer">
    <w:name w:val="footer"/>
    <w:basedOn w:val="Normal"/>
    <w:link w:val="FooterChar"/>
    <w:uiPriority w:val="99"/>
    <w:semiHidden/>
    <w:unhideWhenUsed/>
    <w:rsid w:val="00D46C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6C07"/>
  </w:style>
  <w:style w:type="paragraph" w:styleId="NormalWeb">
    <w:name w:val="Normal (Web)"/>
    <w:basedOn w:val="Normal"/>
    <w:uiPriority w:val="99"/>
    <w:unhideWhenUsed/>
    <w:rsid w:val="00316CB0"/>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styleId="Hyperlink">
    <w:name w:val="Hyperlink"/>
    <w:basedOn w:val="DefaultParagraphFont"/>
    <w:uiPriority w:val="99"/>
    <w:semiHidden/>
    <w:unhideWhenUsed/>
    <w:rsid w:val="002D3C4B"/>
    <w:rPr>
      <w:color w:val="0000FF"/>
      <w:u w:val="single"/>
    </w:rPr>
  </w:style>
</w:styles>
</file>

<file path=word/webSettings.xml><?xml version="1.0" encoding="utf-8"?>
<w:webSettings xmlns:r="http://schemas.openxmlformats.org/officeDocument/2006/relationships" xmlns:w="http://schemas.openxmlformats.org/wordprocessingml/2006/main">
  <w:divs>
    <w:div w:id="108206895">
      <w:bodyDiv w:val="1"/>
      <w:marLeft w:val="0"/>
      <w:marRight w:val="0"/>
      <w:marTop w:val="0"/>
      <w:marBottom w:val="0"/>
      <w:divBdr>
        <w:top w:val="none" w:sz="0" w:space="0" w:color="auto"/>
        <w:left w:val="none" w:sz="0" w:space="0" w:color="auto"/>
        <w:bottom w:val="none" w:sz="0" w:space="0" w:color="auto"/>
        <w:right w:val="none" w:sz="0" w:space="0" w:color="auto"/>
      </w:divBdr>
    </w:div>
    <w:div w:id="186452534">
      <w:bodyDiv w:val="1"/>
      <w:marLeft w:val="0"/>
      <w:marRight w:val="0"/>
      <w:marTop w:val="0"/>
      <w:marBottom w:val="0"/>
      <w:divBdr>
        <w:top w:val="none" w:sz="0" w:space="0" w:color="auto"/>
        <w:left w:val="none" w:sz="0" w:space="0" w:color="auto"/>
        <w:bottom w:val="none" w:sz="0" w:space="0" w:color="auto"/>
        <w:right w:val="none" w:sz="0" w:space="0" w:color="auto"/>
      </w:divBdr>
    </w:div>
    <w:div w:id="474640551">
      <w:bodyDiv w:val="1"/>
      <w:marLeft w:val="0"/>
      <w:marRight w:val="0"/>
      <w:marTop w:val="0"/>
      <w:marBottom w:val="0"/>
      <w:divBdr>
        <w:top w:val="none" w:sz="0" w:space="0" w:color="auto"/>
        <w:left w:val="none" w:sz="0" w:space="0" w:color="auto"/>
        <w:bottom w:val="none" w:sz="0" w:space="0" w:color="auto"/>
        <w:right w:val="none" w:sz="0" w:space="0" w:color="auto"/>
      </w:divBdr>
    </w:div>
    <w:div w:id="1792901081">
      <w:bodyDiv w:val="1"/>
      <w:marLeft w:val="0"/>
      <w:marRight w:val="0"/>
      <w:marTop w:val="0"/>
      <w:marBottom w:val="0"/>
      <w:divBdr>
        <w:top w:val="none" w:sz="0" w:space="0" w:color="auto"/>
        <w:left w:val="none" w:sz="0" w:space="0" w:color="auto"/>
        <w:bottom w:val="none" w:sz="0" w:space="0" w:color="auto"/>
        <w:right w:val="none" w:sz="0" w:space="0" w:color="auto"/>
      </w:divBdr>
    </w:div>
    <w:div w:id="1838884079">
      <w:bodyDiv w:val="1"/>
      <w:marLeft w:val="0"/>
      <w:marRight w:val="0"/>
      <w:marTop w:val="0"/>
      <w:marBottom w:val="0"/>
      <w:divBdr>
        <w:top w:val="none" w:sz="0" w:space="0" w:color="auto"/>
        <w:left w:val="none" w:sz="0" w:space="0" w:color="auto"/>
        <w:bottom w:val="none" w:sz="0" w:space="0" w:color="auto"/>
        <w:right w:val="none" w:sz="0" w:space="0" w:color="auto"/>
      </w:divBdr>
    </w:div>
    <w:div w:id="1979529819">
      <w:bodyDiv w:val="1"/>
      <w:marLeft w:val="0"/>
      <w:marRight w:val="0"/>
      <w:marTop w:val="0"/>
      <w:marBottom w:val="0"/>
      <w:divBdr>
        <w:top w:val="none" w:sz="0" w:space="0" w:color="auto"/>
        <w:left w:val="none" w:sz="0" w:space="0" w:color="auto"/>
        <w:bottom w:val="none" w:sz="0" w:space="0" w:color="auto"/>
        <w:right w:val="none" w:sz="0" w:space="0" w:color="auto"/>
      </w:divBdr>
    </w:div>
    <w:div w:id="202185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2</cp:revision>
  <dcterms:created xsi:type="dcterms:W3CDTF">2017-10-01T14:55:00Z</dcterms:created>
  <dcterms:modified xsi:type="dcterms:W3CDTF">2017-10-01T14:55:00Z</dcterms:modified>
</cp:coreProperties>
</file>