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8D" w:rsidRDefault="00BA3CD7">
      <w:r>
        <w:rPr>
          <w:u w:val="single"/>
        </w:rPr>
        <w:t>Procedure:</w:t>
      </w:r>
      <w:bookmarkStart w:id="0" w:name="_GoBack"/>
      <w:bookmarkEnd w:id="0"/>
    </w:p>
    <w:p w:rsidR="008F1CA0" w:rsidRDefault="008F1CA0" w:rsidP="008F1CA0">
      <w:r>
        <w:t>Prior to this procedure, the animal was sedated using the modified Ketamine stun outlined previously.</w:t>
      </w:r>
    </w:p>
    <w:p w:rsidR="00BA3CD7" w:rsidRPr="00BA3CD7" w:rsidRDefault="008326C1">
      <w:r>
        <w:t>A tourniquet was placed distal to the knee (</w:t>
      </w:r>
      <w:proofErr w:type="spellStart"/>
      <w:r>
        <w:t>antebrachiocarpal</w:t>
      </w:r>
      <w:proofErr w:type="spellEnd"/>
      <w:r>
        <w:t xml:space="preserve">) joint and tightened </w:t>
      </w:r>
      <w:r>
        <w:t>to the point at which the veins originating distally became visibly engorged.</w:t>
      </w:r>
      <w:r>
        <w:t xml:space="preserve"> The dorsal common digital vein III was identified and palpated for confirmation. </w:t>
      </w:r>
      <w:r>
        <w:t>The skin around the intended injection site was swabbed with 70% alcohol and allowed to dry.</w:t>
      </w:r>
      <w:r w:rsidRPr="008326C1">
        <w:t xml:space="preserve"> </w:t>
      </w:r>
      <w:r>
        <w:t>5 milliliters of Lidocaine-</w:t>
      </w:r>
      <w:proofErr w:type="spellStart"/>
      <w:r>
        <w:t>HCl</w:t>
      </w:r>
      <w:proofErr w:type="spellEnd"/>
      <w:r>
        <w:t xml:space="preserve"> was administered intravenously using a 5-ml syringe with a 20 gauge hypodermic needle. The injection site was held under pressure for several seconds upon removal of the needle to limit bleeding. The animal was allowed five minutes for onset of anesthesia to occur, after which the region was tested for sensitivity by gently pricking the skin using the hypodermic needle. The tourniquet was then gradually loosened and removed.</w:t>
      </w:r>
    </w:p>
    <w:sectPr w:rsidR="00BA3CD7" w:rsidRPr="00BA3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8F"/>
    <w:rsid w:val="005D738F"/>
    <w:rsid w:val="008326C1"/>
    <w:rsid w:val="008F1CA0"/>
    <w:rsid w:val="00BA3CD7"/>
    <w:rsid w:val="00FF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C05B2-BE25-4D4D-8FBD-E81D061C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2017-09-23T19:10:00Z</dcterms:created>
  <dcterms:modified xsi:type="dcterms:W3CDTF">2017-09-23T22:02:00Z</dcterms:modified>
</cp:coreProperties>
</file>