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37" w:rsidRPr="00A538EB" w:rsidRDefault="00912437" w:rsidP="00912437">
      <w:pPr>
        <w:spacing w:line="276" w:lineRule="auto"/>
        <w:rPr>
          <w:rFonts w:ascii="Cambria" w:hAnsi="Cambria"/>
          <w:szCs w:val="24"/>
        </w:rPr>
      </w:pPr>
      <w:r w:rsidRPr="00190585">
        <w:rPr>
          <w:rFonts w:ascii="Cambria" w:hAnsi="Cambria"/>
          <w:b/>
          <w:szCs w:val="24"/>
        </w:rPr>
        <w:t>Cow #588</w:t>
      </w:r>
      <w:r w:rsidRPr="00A538EB">
        <w:rPr>
          <w:rFonts w:ascii="Cambria" w:hAnsi="Cambria"/>
          <w:szCs w:val="24"/>
        </w:rPr>
        <w:t xml:space="preserve"> was used in this lab</w:t>
      </w:r>
    </w:p>
    <w:p w:rsidR="00912437" w:rsidRPr="00323ADA" w:rsidRDefault="00912437" w:rsidP="00912437">
      <w:pPr>
        <w:spacing w:line="276" w:lineRule="auto"/>
        <w:rPr>
          <w:rFonts w:ascii="Cambria" w:hAnsi="Cambria"/>
          <w:szCs w:val="24"/>
        </w:rPr>
      </w:pPr>
      <w:r w:rsidRPr="00323ADA">
        <w:rPr>
          <w:rFonts w:ascii="Cambria" w:hAnsi="Cambria"/>
          <w:b/>
          <w:szCs w:val="24"/>
        </w:rPr>
        <w:t>Estimated weight of jersey cow</w:t>
      </w:r>
      <w:r w:rsidRPr="00A538EB">
        <w:rPr>
          <w:rFonts w:ascii="Cambria" w:hAnsi="Cambria"/>
          <w:szCs w:val="24"/>
        </w:rPr>
        <w:t xml:space="preserve"> – 500kg</w:t>
      </w:r>
    </w:p>
    <w:p w:rsidR="00912437" w:rsidRPr="00323ADA" w:rsidRDefault="00912437" w:rsidP="00912437">
      <w:pPr>
        <w:spacing w:line="276" w:lineRule="auto"/>
        <w:rPr>
          <w:rFonts w:ascii="Cambria" w:hAnsi="Cambria"/>
          <w:b/>
          <w:szCs w:val="24"/>
        </w:rPr>
      </w:pPr>
      <w:r w:rsidRPr="00323ADA">
        <w:rPr>
          <w:rFonts w:ascii="Cambria" w:hAnsi="Cambria"/>
          <w:b/>
          <w:szCs w:val="24"/>
        </w:rPr>
        <w:t>Materials:</w:t>
      </w:r>
    </w:p>
    <w:p w:rsidR="00912437" w:rsidRPr="00323ADA" w:rsidRDefault="00912437" w:rsidP="00912437">
      <w:pPr>
        <w:spacing w:line="276" w:lineRule="auto"/>
        <w:rPr>
          <w:rFonts w:ascii="Cambria" w:hAnsi="Cambria"/>
          <w:szCs w:val="24"/>
        </w:rPr>
      </w:pPr>
      <w:r w:rsidRPr="00323ADA">
        <w:rPr>
          <w:rFonts w:ascii="Cambria" w:hAnsi="Cambria"/>
          <w:szCs w:val="24"/>
        </w:rPr>
        <w:t>18G needle</w:t>
      </w:r>
      <w:r w:rsidRPr="00323ADA">
        <w:rPr>
          <w:rFonts w:ascii="Cambria" w:hAnsi="Cambria"/>
          <w:szCs w:val="24"/>
        </w:rPr>
        <w:tab/>
      </w:r>
      <w:r w:rsidRPr="00323ADA">
        <w:rPr>
          <w:rFonts w:ascii="Cambria" w:hAnsi="Cambria"/>
          <w:szCs w:val="24"/>
        </w:rPr>
        <w:tab/>
      </w:r>
      <w:r w:rsidRPr="00323ADA">
        <w:rPr>
          <w:rFonts w:ascii="Cambria" w:hAnsi="Cambria"/>
          <w:szCs w:val="24"/>
        </w:rPr>
        <w:tab/>
      </w:r>
      <w:r w:rsidRPr="00323ADA">
        <w:rPr>
          <w:rFonts w:ascii="Cambria" w:hAnsi="Cambria"/>
          <w:szCs w:val="24"/>
        </w:rPr>
        <w:tab/>
      </w:r>
      <w:r w:rsidRPr="00323ADA">
        <w:rPr>
          <w:rFonts w:ascii="Cambria" w:hAnsi="Cambria"/>
          <w:szCs w:val="24"/>
        </w:rPr>
        <w:tab/>
        <w:t>2% 0.025mg/ml xylazine</w:t>
      </w:r>
    </w:p>
    <w:p w:rsidR="00912437" w:rsidRPr="00323ADA" w:rsidRDefault="00912437" w:rsidP="00912437">
      <w:pPr>
        <w:spacing w:line="276" w:lineRule="auto"/>
        <w:rPr>
          <w:rFonts w:ascii="Cambria" w:hAnsi="Cambria"/>
          <w:szCs w:val="24"/>
        </w:rPr>
      </w:pPr>
      <w:r w:rsidRPr="00323ADA">
        <w:rPr>
          <w:rFonts w:ascii="Cambria" w:hAnsi="Cambria"/>
          <w:szCs w:val="24"/>
        </w:rPr>
        <w:t>5ml syringe</w:t>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r>
      <w:r>
        <w:rPr>
          <w:rFonts w:ascii="Cambria" w:hAnsi="Cambria"/>
          <w:szCs w:val="24"/>
        </w:rPr>
        <w:tab/>
        <w:t>10% 0.05mg</w:t>
      </w:r>
      <w:r w:rsidRPr="00323ADA">
        <w:rPr>
          <w:rFonts w:ascii="Cambria" w:hAnsi="Cambria"/>
          <w:szCs w:val="24"/>
        </w:rPr>
        <w:t>/ml ketamine</w:t>
      </w:r>
    </w:p>
    <w:p w:rsidR="00912437" w:rsidRPr="00323ADA" w:rsidRDefault="00912437" w:rsidP="00912437">
      <w:pPr>
        <w:spacing w:line="276" w:lineRule="auto"/>
        <w:rPr>
          <w:rFonts w:ascii="Cambria" w:hAnsi="Cambria"/>
          <w:szCs w:val="24"/>
        </w:rPr>
      </w:pPr>
      <w:r w:rsidRPr="00323ADA">
        <w:rPr>
          <w:rFonts w:ascii="Cambria" w:hAnsi="Cambria"/>
          <w:szCs w:val="24"/>
        </w:rPr>
        <w:t xml:space="preserve">Cotton </w:t>
      </w:r>
    </w:p>
    <w:p w:rsidR="00912437" w:rsidRPr="009B568E" w:rsidRDefault="00912437" w:rsidP="00912437">
      <w:pPr>
        <w:spacing w:line="276" w:lineRule="auto"/>
        <w:rPr>
          <w:rFonts w:ascii="Cambria" w:hAnsi="Cambria"/>
          <w:szCs w:val="24"/>
        </w:rPr>
      </w:pPr>
      <w:r w:rsidRPr="00323ADA">
        <w:rPr>
          <w:rFonts w:ascii="Cambria" w:hAnsi="Cambria"/>
          <w:szCs w:val="24"/>
        </w:rPr>
        <w:t xml:space="preserve">70% alcohol </w:t>
      </w:r>
    </w:p>
    <w:p w:rsidR="00912437" w:rsidRPr="00912437" w:rsidRDefault="00912437" w:rsidP="00912437">
      <w:pPr>
        <w:rPr>
          <w:rFonts w:ascii="Cambria" w:hAnsi="Cambria"/>
          <w:b/>
        </w:rPr>
      </w:pPr>
      <w:r w:rsidRPr="00912437">
        <w:rPr>
          <w:rFonts w:ascii="Cambria" w:hAnsi="Cambria"/>
          <w:b/>
        </w:rPr>
        <w:t>About the procedure:</w:t>
      </w:r>
    </w:p>
    <w:p w:rsidR="00912437" w:rsidRPr="00912437" w:rsidRDefault="00912437" w:rsidP="00912437">
      <w:pPr>
        <w:rPr>
          <w:rFonts w:ascii="Cambria" w:hAnsi="Cambria"/>
        </w:rPr>
      </w:pPr>
      <w:r w:rsidRPr="00912437">
        <w:rPr>
          <w:rFonts w:ascii="Cambria" w:hAnsi="Cambria"/>
        </w:rPr>
        <w:t xml:space="preserve">The area of muscle between the tuber </w:t>
      </w:r>
      <w:proofErr w:type="spellStart"/>
      <w:r w:rsidRPr="00912437">
        <w:rPr>
          <w:rFonts w:ascii="Cambria" w:hAnsi="Cambria"/>
        </w:rPr>
        <w:t>coxae</w:t>
      </w:r>
      <w:proofErr w:type="spellEnd"/>
      <w:r w:rsidRPr="00912437">
        <w:rPr>
          <w:rFonts w:ascii="Cambria" w:hAnsi="Cambria"/>
        </w:rPr>
        <w:t xml:space="preserve"> and </w:t>
      </w:r>
      <w:proofErr w:type="spellStart"/>
      <w:r w:rsidRPr="00912437">
        <w:rPr>
          <w:rFonts w:ascii="Cambria" w:hAnsi="Cambria"/>
        </w:rPr>
        <w:t>ischial</w:t>
      </w:r>
      <w:proofErr w:type="spellEnd"/>
      <w:r w:rsidRPr="00912437">
        <w:rPr>
          <w:rFonts w:ascii="Cambria" w:hAnsi="Cambria"/>
        </w:rPr>
        <w:t xml:space="preserve"> tuberosity was prepped by cleaning with 70% alcohol. (See Figure 1)</w:t>
      </w:r>
    </w:p>
    <w:p w:rsidR="00912437" w:rsidRPr="00912437" w:rsidRDefault="00912437" w:rsidP="00912437">
      <w:pPr>
        <w:rPr>
          <w:rFonts w:ascii="Cambria" w:hAnsi="Cambria"/>
        </w:rPr>
      </w:pPr>
      <w:r w:rsidRPr="00912437">
        <w:rPr>
          <w:rFonts w:ascii="Cambria" w:hAnsi="Cambria"/>
        </w:rPr>
        <w:drawing>
          <wp:inline distT="0" distB="0" distL="0" distR="0" wp14:anchorId="53BD87BC" wp14:editId="290D139C">
            <wp:extent cx="1958196" cy="1086928"/>
            <wp:effectExtent l="0" t="0" r="4445" b="0"/>
            <wp:docPr id="1" name="Picture 1" descr="Image result for im injection sites for c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 injection sites for cows"/>
                    <pic:cNvPicPr>
                      <a:picLocks noChangeAspect="1" noChangeArrowheads="1"/>
                    </pic:cNvPicPr>
                  </pic:nvPicPr>
                  <pic:blipFill rotWithShape="1">
                    <a:blip r:embed="rId4">
                      <a:extLst>
                        <a:ext uri="{28A0092B-C50C-407E-A947-70E740481C1C}">
                          <a14:useLocalDpi xmlns:a14="http://schemas.microsoft.com/office/drawing/2010/main" val="0"/>
                        </a:ext>
                      </a:extLst>
                    </a:blip>
                    <a:srcRect t="12800" r="803" b="13882"/>
                    <a:stretch/>
                  </pic:blipFill>
                  <pic:spPr bwMode="auto">
                    <a:xfrm>
                      <a:off x="0" y="0"/>
                      <a:ext cx="1984741" cy="1101662"/>
                    </a:xfrm>
                    <a:prstGeom prst="rect">
                      <a:avLst/>
                    </a:prstGeom>
                    <a:noFill/>
                    <a:ln>
                      <a:noFill/>
                    </a:ln>
                    <a:extLst>
                      <a:ext uri="{53640926-AAD7-44D8-BBD7-CCE9431645EC}">
                        <a14:shadowObscured xmlns:a14="http://schemas.microsoft.com/office/drawing/2010/main"/>
                      </a:ext>
                    </a:extLst>
                  </pic:spPr>
                </pic:pic>
              </a:graphicData>
            </a:graphic>
          </wp:inline>
        </w:drawing>
      </w:r>
      <w:r w:rsidRPr="00912437">
        <w:rPr>
          <w:rFonts w:ascii="Cambria" w:hAnsi="Cambria"/>
        </w:rPr>
        <w:t xml:space="preserve"> </w:t>
      </w:r>
      <w:r w:rsidRPr="00912437">
        <w:rPr>
          <w:rFonts w:ascii="Cambria" w:hAnsi="Cambria"/>
          <w:i/>
          <w:u w:val="single"/>
        </w:rPr>
        <w:t>Figure 1</w:t>
      </w:r>
    </w:p>
    <w:p w:rsidR="00912437" w:rsidRPr="00912437" w:rsidRDefault="00912437" w:rsidP="00912437">
      <w:pPr>
        <w:rPr>
          <w:rFonts w:ascii="Cambria" w:hAnsi="Cambria"/>
        </w:rPr>
      </w:pPr>
      <w:r w:rsidRPr="00912437">
        <w:rPr>
          <w:rFonts w:ascii="Cambria" w:hAnsi="Cambria"/>
        </w:rPr>
        <w:t>0.625ml of xylazine was administered using a 5ml syringe attached to an 18g needle into the right gluteal muscle. The needle was inserted initially into the musculature. The syringe was the attached to the needle, pulling back on the plunger to ensure that no blood vessel was entered, followed by administration of the drug.</w:t>
      </w:r>
    </w:p>
    <w:p w:rsidR="00912437" w:rsidRPr="00912437" w:rsidRDefault="00912437" w:rsidP="00912437">
      <w:pPr>
        <w:rPr>
          <w:rFonts w:ascii="Cambria" w:hAnsi="Cambria"/>
          <w:b/>
        </w:rPr>
      </w:pPr>
      <w:r w:rsidRPr="00912437">
        <w:rPr>
          <w:rFonts w:ascii="Cambria" w:hAnsi="Cambria"/>
        </w:rPr>
        <w:t>0.25ml of ketamine was administered using a 5ml syringe attached to an 18g needle into the left gluteal muscle. The same procedure was followed as with the xylazine.</w:t>
      </w:r>
      <w:r w:rsidRPr="00912437">
        <w:rPr>
          <w:rFonts w:ascii="Cambria" w:hAnsi="Cambria"/>
          <w:b/>
        </w:rPr>
        <w:t xml:space="preserve"> </w:t>
      </w:r>
    </w:p>
    <w:p w:rsidR="00912437" w:rsidRPr="00912437" w:rsidRDefault="00912437" w:rsidP="00912437">
      <w:pPr>
        <w:spacing w:line="276" w:lineRule="auto"/>
        <w:rPr>
          <w:rFonts w:ascii="Cambria" w:hAnsi="Cambria"/>
          <w:b/>
        </w:rPr>
      </w:pPr>
      <w:r w:rsidRPr="00912437">
        <w:rPr>
          <w:rFonts w:ascii="Cambria" w:hAnsi="Cambria"/>
          <w:b/>
        </w:rPr>
        <w:t>Pre op considerations:</w:t>
      </w:r>
    </w:p>
    <w:p w:rsidR="00912437" w:rsidRPr="00912437" w:rsidRDefault="00912437" w:rsidP="00912437">
      <w:pPr>
        <w:spacing w:line="276" w:lineRule="auto"/>
        <w:rPr>
          <w:rFonts w:ascii="Cambria" w:hAnsi="Cambria"/>
        </w:rPr>
      </w:pPr>
      <w:r w:rsidRPr="00912437">
        <w:rPr>
          <w:rFonts w:ascii="Cambria" w:hAnsi="Cambria"/>
        </w:rPr>
        <w:t>Atropine causes increased viscosity of saliva hence is not preferred reversal drug for xylazine overdose.</w:t>
      </w:r>
    </w:p>
    <w:p w:rsidR="00912437" w:rsidRPr="00912437" w:rsidRDefault="00912437" w:rsidP="00912437">
      <w:pPr>
        <w:spacing w:line="276" w:lineRule="auto"/>
        <w:rPr>
          <w:rFonts w:ascii="Cambria" w:hAnsi="Cambria"/>
        </w:rPr>
      </w:pPr>
      <w:r w:rsidRPr="00912437">
        <w:rPr>
          <w:rFonts w:ascii="Cambria" w:hAnsi="Cambria"/>
        </w:rPr>
        <w:t>Side effects of xylazine include bradycardia due to secondary AV block. 0.4mg/kg atropine used to combat this.</w:t>
      </w:r>
    </w:p>
    <w:p w:rsidR="00912437" w:rsidRDefault="00912437" w:rsidP="00912437">
      <w:pPr>
        <w:spacing w:line="276" w:lineRule="auto"/>
        <w:rPr>
          <w:rFonts w:ascii="Cambria" w:hAnsi="Cambria"/>
          <w:b/>
          <w:szCs w:val="24"/>
        </w:rPr>
      </w:pPr>
      <w:r w:rsidRPr="00D35DF1">
        <w:rPr>
          <w:rFonts w:ascii="Cambria" w:hAnsi="Cambria"/>
          <w:b/>
          <w:szCs w:val="24"/>
        </w:rPr>
        <w:t xml:space="preserve">Post op considerations: </w:t>
      </w:r>
      <w:r w:rsidRPr="00D35DF1">
        <w:rPr>
          <w:rFonts w:ascii="Cambria" w:hAnsi="Cambria"/>
          <w:szCs w:val="24"/>
        </w:rPr>
        <w:t>abscesses, lameness</w:t>
      </w:r>
      <w:r w:rsidRPr="00D35DF1">
        <w:rPr>
          <w:rFonts w:ascii="Cambria" w:hAnsi="Cambria"/>
          <w:b/>
          <w:szCs w:val="24"/>
        </w:rPr>
        <w:t xml:space="preserve"> </w:t>
      </w:r>
    </w:p>
    <w:p w:rsidR="00DA6126" w:rsidRDefault="00DA6126">
      <w:bookmarkStart w:id="0" w:name="_GoBack"/>
      <w:bookmarkEnd w:id="0"/>
    </w:p>
    <w:sectPr w:rsidR="00DA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37"/>
    <w:rsid w:val="00912437"/>
    <w:rsid w:val="00DA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7314-1D74-41DD-B79A-F3C0CBF8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Company>Toshiba</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Madray</dc:creator>
  <cp:keywords/>
  <dc:description/>
  <cp:lastModifiedBy>Celeste Madray</cp:lastModifiedBy>
  <cp:revision>1</cp:revision>
  <dcterms:created xsi:type="dcterms:W3CDTF">2017-09-23T00:06:00Z</dcterms:created>
  <dcterms:modified xsi:type="dcterms:W3CDTF">2017-09-23T00:16:00Z</dcterms:modified>
</cp:coreProperties>
</file>