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198" w:rsidRDefault="00E7345C" w:rsidP="00E7345C">
      <w:pPr>
        <w:jc w:val="center"/>
        <w:rPr>
          <w:color w:val="2E74B5" w:themeColor="accent1" w:themeShade="BF"/>
          <w:sz w:val="28"/>
        </w:rPr>
      </w:pPr>
      <w:r w:rsidRPr="00E7345C">
        <w:rPr>
          <w:color w:val="2E74B5" w:themeColor="accent1" w:themeShade="BF"/>
          <w:sz w:val="28"/>
        </w:rPr>
        <w:t>DISTAL PARAVERTEBRAL BLOCK</w:t>
      </w:r>
    </w:p>
    <w:p w:rsidR="00E7345C" w:rsidRDefault="00E7345C" w:rsidP="00E7345C">
      <w:r>
        <w:t xml:space="preserve"> </w:t>
      </w:r>
    </w:p>
    <w:p w:rsidR="009B6CBA" w:rsidRPr="006D1D93" w:rsidRDefault="009B6CBA" w:rsidP="00E7345C">
      <w:pPr>
        <w:rPr>
          <w:color w:val="2E74B5" w:themeColor="accent1" w:themeShade="BF"/>
        </w:rPr>
      </w:pPr>
      <w:r w:rsidRPr="006D1D93">
        <w:rPr>
          <w:color w:val="2E74B5" w:themeColor="accent1" w:themeShade="BF"/>
        </w:rPr>
        <w:t>Why do we use this block?</w:t>
      </w:r>
    </w:p>
    <w:p w:rsidR="009B6CBA" w:rsidRDefault="009B6CBA" w:rsidP="00E7345C">
      <w:r>
        <w:t xml:space="preserve">Standing laparotomy surgery: </w:t>
      </w:r>
      <w:proofErr w:type="spellStart"/>
      <w:r>
        <w:t>caecotomy</w:t>
      </w:r>
      <w:proofErr w:type="spellEnd"/>
      <w:r>
        <w:t xml:space="preserve">, rumenotomy, </w:t>
      </w:r>
      <w:proofErr w:type="spellStart"/>
      <w:r>
        <w:t>cystotomy</w:t>
      </w:r>
      <w:proofErr w:type="spellEnd"/>
      <w:r>
        <w:t xml:space="preserve">, </w:t>
      </w:r>
      <w:proofErr w:type="spellStart"/>
      <w:r>
        <w:t>abomasal</w:t>
      </w:r>
      <w:proofErr w:type="spellEnd"/>
      <w:r>
        <w:t xml:space="preserve"> displacement and management of volvulus and intestinal obstruction. </w:t>
      </w:r>
    </w:p>
    <w:p w:rsidR="009B6CBA" w:rsidRPr="006D1D93" w:rsidRDefault="009B6CBA" w:rsidP="00E7345C">
      <w:pPr>
        <w:rPr>
          <w:color w:val="2E74B5" w:themeColor="accent1" w:themeShade="BF"/>
        </w:rPr>
      </w:pPr>
      <w:r w:rsidRPr="006D1D93">
        <w:rPr>
          <w:color w:val="2E74B5" w:themeColor="accent1" w:themeShade="BF"/>
        </w:rPr>
        <w:t xml:space="preserve">Why do we use Lidocaine? </w:t>
      </w:r>
    </w:p>
    <w:p w:rsidR="009B6CBA" w:rsidRDefault="009B6CBA" w:rsidP="00E7345C">
      <w:r>
        <w:t xml:space="preserve">Commonly used due to the ease of administration. </w:t>
      </w:r>
      <w:r w:rsidR="006D1D93" w:rsidRPr="006D1D93">
        <w:t xml:space="preserve">The efficacy profile of lidocaine as a local </w:t>
      </w:r>
      <w:proofErr w:type="spellStart"/>
      <w:r w:rsidR="006D1D93" w:rsidRPr="006D1D93">
        <w:t>anaesthetic</w:t>
      </w:r>
      <w:proofErr w:type="spellEnd"/>
      <w:r w:rsidR="006D1D93" w:rsidRPr="006D1D93">
        <w:t xml:space="preserve"> is characterized by a rapid onset of action and intermediate duration of efficacy.</w:t>
      </w:r>
      <w:r w:rsidR="006D1D93">
        <w:t xml:space="preserve"> </w:t>
      </w:r>
      <w:r w:rsidR="006D1D93" w:rsidRPr="006D1D93">
        <w:t xml:space="preserve">Longer-acting substances such as bupivacaine are sometimes given preference for spinal and epidural </w:t>
      </w:r>
      <w:proofErr w:type="spellStart"/>
      <w:r w:rsidR="006D1D93" w:rsidRPr="006D1D93">
        <w:t>anaesthesias</w:t>
      </w:r>
      <w:proofErr w:type="spellEnd"/>
      <w:r w:rsidR="006D1D93" w:rsidRPr="006D1D93">
        <w:t>; lidocaine, though, has the advantage of a rapid onset of action.</w:t>
      </w:r>
      <w:r w:rsidR="006D1D93">
        <w:t xml:space="preserve"> </w:t>
      </w:r>
    </w:p>
    <w:p w:rsidR="009B6CBA" w:rsidRDefault="009B6CBA" w:rsidP="00E7345C">
      <w:r w:rsidRPr="006D1D93">
        <w:rPr>
          <w:color w:val="2E74B5" w:themeColor="accent1" w:themeShade="BF"/>
        </w:rPr>
        <w:t xml:space="preserve">MOA: </w:t>
      </w:r>
      <w:r w:rsidRPr="009B6CBA">
        <w:t>alters signal conduction in neurons by blocking the fast voltage-gated Na+ channels in the neuronal cell membrane responsible for signal prop</w:t>
      </w:r>
      <w:bookmarkStart w:id="0" w:name="_GoBack"/>
      <w:bookmarkEnd w:id="0"/>
      <w:r w:rsidRPr="009B6CBA">
        <w:t>aga</w:t>
      </w:r>
      <w:r>
        <w:t xml:space="preserve">tion, </w:t>
      </w:r>
      <w:r w:rsidRPr="009B6CBA">
        <w:t xml:space="preserve">the membrane of the postsynaptic neuron will not depolarize and will thus fail to transmit an action potential. This creates the </w:t>
      </w:r>
      <w:proofErr w:type="spellStart"/>
      <w:r w:rsidRPr="009B6CBA">
        <w:t>anaesthetic</w:t>
      </w:r>
      <w:proofErr w:type="spellEnd"/>
      <w:r w:rsidRPr="009B6CBA">
        <w:t xml:space="preserve"> effect by not merely preventing pain signals from propagating to the brain, but by stopping them before they begin.</w:t>
      </w:r>
      <w:r>
        <w:t xml:space="preserve"> </w:t>
      </w:r>
    </w:p>
    <w:p w:rsidR="009B6CBA" w:rsidRDefault="009B6CBA" w:rsidP="00E7345C">
      <w:r w:rsidRPr="006D1D93">
        <w:rPr>
          <w:color w:val="2E74B5" w:themeColor="accent1" w:themeShade="BF"/>
        </w:rPr>
        <w:t xml:space="preserve">Typical onset: </w:t>
      </w:r>
      <w:r>
        <w:t xml:space="preserve">Within 10 minutes of injection. </w:t>
      </w:r>
    </w:p>
    <w:p w:rsidR="009B6CBA" w:rsidRDefault="009B6CBA" w:rsidP="00E7345C">
      <w:r w:rsidRPr="006D1D93">
        <w:rPr>
          <w:color w:val="2E74B5" w:themeColor="accent1" w:themeShade="BF"/>
        </w:rPr>
        <w:t>Onset seen with bovine patient</w:t>
      </w:r>
      <w:r w:rsidR="006D1D93" w:rsidRPr="006D1D93">
        <w:rPr>
          <w:color w:val="2E74B5" w:themeColor="accent1" w:themeShade="BF"/>
        </w:rPr>
        <w:t xml:space="preserve">: </w:t>
      </w:r>
      <w:r>
        <w:t>#588: N/A</w:t>
      </w:r>
    </w:p>
    <w:p w:rsidR="009B6CBA" w:rsidRDefault="009B6CBA" w:rsidP="00E7345C">
      <w:r w:rsidRPr="006D1D93">
        <w:rPr>
          <w:color w:val="2E74B5" w:themeColor="accent1" w:themeShade="BF"/>
        </w:rPr>
        <w:t xml:space="preserve">Typical duration of analgesia: </w:t>
      </w:r>
      <w:r>
        <w:t>90 minutes.</w:t>
      </w:r>
    </w:p>
    <w:p w:rsidR="009B6CBA" w:rsidRDefault="009B6CBA" w:rsidP="00E7345C">
      <w:r w:rsidRPr="006D1D93">
        <w:rPr>
          <w:color w:val="2E74B5" w:themeColor="accent1" w:themeShade="BF"/>
        </w:rPr>
        <w:t xml:space="preserve">Duration of analgesia in bovine patient #588: </w:t>
      </w:r>
      <w:r>
        <w:t>N/A</w:t>
      </w:r>
    </w:p>
    <w:p w:rsidR="006D1D93" w:rsidRDefault="006D1D93" w:rsidP="00E7345C">
      <w:r w:rsidRPr="006D1D93">
        <w:rPr>
          <w:color w:val="2E74B5" w:themeColor="accent1" w:themeShade="BF"/>
        </w:rPr>
        <w:t xml:space="preserve">Common side effects: </w:t>
      </w:r>
      <w:r w:rsidRPr="006D1D93">
        <w:t xml:space="preserve">Common side effects with intravenous use include sleepiness, muscle twitching, </w:t>
      </w:r>
      <w:proofErr w:type="gramStart"/>
      <w:r w:rsidRPr="006D1D93">
        <w:t>confusion</w:t>
      </w:r>
      <w:proofErr w:type="gramEnd"/>
      <w:r w:rsidRPr="006D1D93">
        <w:t>, changes in vision, numb</w:t>
      </w:r>
      <w:r>
        <w:t>ness, tingling, and vomiting.</w:t>
      </w:r>
      <w:r w:rsidRPr="006D1D93">
        <w:t xml:space="preserve"> It can cause low blood pressure and an irregular heart rate</w:t>
      </w:r>
      <w:r>
        <w:t xml:space="preserve">. </w:t>
      </w:r>
    </w:p>
    <w:p w:rsidR="006D1D93" w:rsidRPr="00E7345C" w:rsidRDefault="006D1D93" w:rsidP="006D1D93">
      <w:r w:rsidRPr="006D1D93">
        <w:rPr>
          <w:color w:val="2E74B5" w:themeColor="accent1" w:themeShade="BF"/>
        </w:rPr>
        <w:t xml:space="preserve">Contraindications: </w:t>
      </w:r>
      <w:r>
        <w:t>h</w:t>
      </w:r>
      <w:r>
        <w:t>eart bloc</w:t>
      </w:r>
      <w:r>
        <w:t>k, second or third degree, s</w:t>
      </w:r>
      <w:r>
        <w:t>evere sino</w:t>
      </w:r>
      <w:r>
        <w:t xml:space="preserve">atrial </w:t>
      </w:r>
      <w:proofErr w:type="spellStart"/>
      <w:r>
        <w:t>block,s</w:t>
      </w:r>
      <w:r>
        <w:t>erious</w:t>
      </w:r>
      <w:proofErr w:type="spellEnd"/>
      <w:r>
        <w:t xml:space="preserve"> adverse drug reaction to lidocaine or amide local anesthetics</w:t>
      </w:r>
      <w:r>
        <w:t>, h</w:t>
      </w:r>
      <w:r>
        <w:t xml:space="preserve">ypersensitivity to corn and corn-related </w:t>
      </w:r>
      <w:r>
        <w:t>products, c</w:t>
      </w:r>
      <w:r>
        <w:t xml:space="preserve">oncurrent treatment with quinidine, flecainide, </w:t>
      </w:r>
      <w:proofErr w:type="spellStart"/>
      <w:r>
        <w:t>disopyramide</w:t>
      </w:r>
      <w:proofErr w:type="spellEnd"/>
      <w:r>
        <w:t>, procainamide (class I antiarrhythmic agents)</w:t>
      </w:r>
      <w:r>
        <w:t xml:space="preserve">. </w:t>
      </w:r>
    </w:p>
    <w:sectPr w:rsidR="006D1D93" w:rsidRPr="00E73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5C"/>
    <w:rsid w:val="00103198"/>
    <w:rsid w:val="006D1D93"/>
    <w:rsid w:val="009B6CBA"/>
    <w:rsid w:val="00E7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FA081-24F8-43A8-A9AA-E5EC020E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2017-09-21T05:05:00Z</dcterms:created>
  <dcterms:modified xsi:type="dcterms:W3CDTF">2017-09-21T13:03:00Z</dcterms:modified>
</cp:coreProperties>
</file>