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ghtGrid-Accent4"/>
        <w:tblW w:w="11047" w:type="dxa"/>
        <w:tblInd w:w="-885" w:type="dxa"/>
        <w:tblLayout w:type="fixed"/>
        <w:tblLook w:val="04A0" w:firstRow="1" w:lastRow="0" w:firstColumn="1" w:lastColumn="0" w:noHBand="0" w:noVBand="1"/>
      </w:tblPr>
      <w:tblGrid>
        <w:gridCol w:w="1723"/>
        <w:gridCol w:w="1722"/>
        <w:gridCol w:w="2438"/>
        <w:gridCol w:w="3013"/>
        <w:gridCol w:w="2151"/>
      </w:tblGrid>
      <w:tr w:rsidR="00380D36" w:rsidRPr="00602248" w:rsidTr="006571B3">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723" w:type="dxa"/>
          </w:tcPr>
          <w:p w:rsidR="00185E9B" w:rsidRPr="00602248" w:rsidRDefault="00185E9B" w:rsidP="00602248">
            <w:r w:rsidRPr="00602248">
              <w:t>Drug name</w:t>
            </w:r>
          </w:p>
        </w:tc>
        <w:tc>
          <w:tcPr>
            <w:tcW w:w="1722" w:type="dxa"/>
          </w:tcPr>
          <w:p w:rsidR="00185E9B" w:rsidRPr="00602248" w:rsidRDefault="00185E9B" w:rsidP="00602248">
            <w:pPr>
              <w:cnfStyle w:val="100000000000" w:firstRow="1" w:lastRow="0" w:firstColumn="0" w:lastColumn="0" w:oddVBand="0" w:evenVBand="0" w:oddHBand="0" w:evenHBand="0" w:firstRowFirstColumn="0" w:firstRowLastColumn="0" w:lastRowFirstColumn="0" w:lastRowLastColumn="0"/>
            </w:pPr>
            <w:r w:rsidRPr="00602248">
              <w:t>Active Ingredient</w:t>
            </w:r>
          </w:p>
        </w:tc>
        <w:tc>
          <w:tcPr>
            <w:tcW w:w="2438" w:type="dxa"/>
          </w:tcPr>
          <w:p w:rsidR="00185E9B" w:rsidRPr="00602248" w:rsidRDefault="00185E9B" w:rsidP="00602248">
            <w:pPr>
              <w:cnfStyle w:val="100000000000" w:firstRow="1" w:lastRow="0" w:firstColumn="0" w:lastColumn="0" w:oddVBand="0" w:evenVBand="0" w:oddHBand="0" w:evenHBand="0" w:firstRowFirstColumn="0" w:firstRowLastColumn="0" w:lastRowFirstColumn="0" w:lastRowLastColumn="0"/>
            </w:pPr>
            <w:r w:rsidRPr="00602248">
              <w:t>Purpose</w:t>
            </w:r>
            <w:r w:rsidR="00514E3D" w:rsidRPr="00602248">
              <w:t>/</w:t>
            </w:r>
            <w:proofErr w:type="spellStart"/>
            <w:r w:rsidR="00514E3D" w:rsidRPr="00602248">
              <w:t>mechacanism</w:t>
            </w:r>
            <w:proofErr w:type="spellEnd"/>
            <w:r w:rsidR="00514E3D" w:rsidRPr="00602248">
              <w:t xml:space="preserve"> of action</w:t>
            </w:r>
          </w:p>
        </w:tc>
        <w:tc>
          <w:tcPr>
            <w:tcW w:w="3013" w:type="dxa"/>
          </w:tcPr>
          <w:p w:rsidR="00185E9B" w:rsidRPr="00602248" w:rsidRDefault="00185E9B" w:rsidP="00602248">
            <w:pPr>
              <w:cnfStyle w:val="100000000000" w:firstRow="1" w:lastRow="0" w:firstColumn="0" w:lastColumn="0" w:oddVBand="0" w:evenVBand="0" w:oddHBand="0" w:evenHBand="0" w:firstRowFirstColumn="0" w:firstRowLastColumn="0" w:lastRowFirstColumn="0" w:lastRowLastColumn="0"/>
            </w:pPr>
            <w:r w:rsidRPr="00602248">
              <w:t>Contraindications</w:t>
            </w:r>
          </w:p>
        </w:tc>
        <w:tc>
          <w:tcPr>
            <w:tcW w:w="2151" w:type="dxa"/>
          </w:tcPr>
          <w:p w:rsidR="00185E9B" w:rsidRPr="00602248" w:rsidRDefault="00185E9B" w:rsidP="00602248">
            <w:pPr>
              <w:cnfStyle w:val="100000000000" w:firstRow="1" w:lastRow="0" w:firstColumn="0" w:lastColumn="0" w:oddVBand="0" w:evenVBand="0" w:oddHBand="0" w:evenHBand="0" w:firstRowFirstColumn="0" w:firstRowLastColumn="0" w:lastRowFirstColumn="0" w:lastRowLastColumn="0"/>
            </w:pPr>
            <w:r w:rsidRPr="00602248">
              <w:t>Dose/route of administration</w:t>
            </w:r>
          </w:p>
        </w:tc>
      </w:tr>
      <w:tr w:rsidR="00380D36" w:rsidRPr="00602248" w:rsidTr="006571B3">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723" w:type="dxa"/>
          </w:tcPr>
          <w:p w:rsidR="00185E9B" w:rsidRPr="00602248" w:rsidRDefault="008668FB" w:rsidP="00602248">
            <w:r w:rsidRPr="00602248">
              <w:t>Lidocaine</w:t>
            </w:r>
          </w:p>
          <w:p w:rsidR="00185E9B" w:rsidRPr="00602248" w:rsidRDefault="00185E9B" w:rsidP="00602248"/>
        </w:tc>
        <w:tc>
          <w:tcPr>
            <w:tcW w:w="1722" w:type="dxa"/>
          </w:tcPr>
          <w:p w:rsidR="00185E9B" w:rsidRPr="00602248" w:rsidRDefault="00380D36" w:rsidP="00602248">
            <w:pPr>
              <w:cnfStyle w:val="000000100000" w:firstRow="0" w:lastRow="0" w:firstColumn="0" w:lastColumn="0" w:oddVBand="0" w:evenVBand="0" w:oddHBand="1" w:evenHBand="0" w:firstRowFirstColumn="0" w:firstRowLastColumn="0" w:lastRowFirstColumn="0" w:lastRowLastColumn="0"/>
            </w:pPr>
            <w:r w:rsidRPr="00602248">
              <w:t>2% </w:t>
            </w:r>
            <w:hyperlink r:id="rId6" w:history="1">
              <w:r w:rsidRPr="00602248">
                <w:rPr>
                  <w:rStyle w:val="Hyperlink"/>
                  <w:color w:val="auto"/>
                  <w:u w:val="none"/>
                </w:rPr>
                <w:t>lidocaine hydrochloride</w:t>
              </w:r>
            </w:hyperlink>
          </w:p>
        </w:tc>
        <w:tc>
          <w:tcPr>
            <w:tcW w:w="2438" w:type="dxa"/>
          </w:tcPr>
          <w:p w:rsidR="00185E9B" w:rsidRPr="00602248" w:rsidRDefault="00380D36" w:rsidP="00602248">
            <w:pPr>
              <w:cnfStyle w:val="000000100000" w:firstRow="0" w:lastRow="0" w:firstColumn="0" w:lastColumn="0" w:oddVBand="0" w:evenVBand="0" w:oddHBand="1" w:evenHBand="0" w:firstRowFirstColumn="0" w:firstRowLastColumn="0" w:lastRowFirstColumn="0" w:lastRowLastColumn="0"/>
            </w:pPr>
            <w:r w:rsidRPr="00602248">
              <w:t xml:space="preserve">Local </w:t>
            </w:r>
            <w:proofErr w:type="spellStart"/>
            <w:r w:rsidRPr="00602248">
              <w:t>anesthetic</w:t>
            </w:r>
            <w:proofErr w:type="spellEnd"/>
            <w:r w:rsidRPr="00602248">
              <w:t xml:space="preserve"> agent used to induce regional </w:t>
            </w:r>
            <w:proofErr w:type="spellStart"/>
            <w:r w:rsidRPr="00602248">
              <w:t>anesthesia</w:t>
            </w:r>
            <w:proofErr w:type="spellEnd"/>
            <w:r w:rsidRPr="00602248">
              <w:t xml:space="preserve"> during the lameness examination in horses.</w:t>
            </w:r>
          </w:p>
          <w:p w:rsidR="00514E3D" w:rsidRPr="00602248" w:rsidRDefault="00514E3D" w:rsidP="00602248">
            <w:pPr>
              <w:cnfStyle w:val="000000100000" w:firstRow="0" w:lastRow="0" w:firstColumn="0" w:lastColumn="0" w:oddVBand="0" w:evenVBand="0" w:oddHBand="1" w:evenHBand="0" w:firstRowFirstColumn="0" w:firstRowLastColumn="0" w:lastRowFirstColumn="0" w:lastRowLastColumn="0"/>
            </w:pPr>
          </w:p>
          <w:p w:rsidR="00514E3D" w:rsidRPr="00602248" w:rsidRDefault="00514E3D" w:rsidP="00602248">
            <w:pPr>
              <w:cnfStyle w:val="000000100000" w:firstRow="0" w:lastRow="0" w:firstColumn="0" w:lastColumn="0" w:oddVBand="0" w:evenVBand="0" w:oddHBand="1" w:evenHBand="0" w:firstRowFirstColumn="0" w:firstRowLastColumn="0" w:lastRowFirstColumn="0" w:lastRowLastColumn="0"/>
            </w:pPr>
            <w:r w:rsidRPr="00602248">
              <w:t xml:space="preserve">Mechanism of action: Lidocaine stabilizes the neuronal membrane by inhibiting the ionic fluxes required for the initiation and conduction of impulses, thereby effecting local </w:t>
            </w:r>
            <w:proofErr w:type="spellStart"/>
            <w:r w:rsidRPr="00602248">
              <w:t>anesthetic</w:t>
            </w:r>
            <w:proofErr w:type="spellEnd"/>
            <w:r w:rsidRPr="00602248">
              <w:t xml:space="preserve"> action</w:t>
            </w:r>
          </w:p>
        </w:tc>
        <w:tc>
          <w:tcPr>
            <w:tcW w:w="3013" w:type="dxa"/>
          </w:tcPr>
          <w:p w:rsidR="00BC075A" w:rsidRPr="00602248" w:rsidRDefault="00BC075A" w:rsidP="00602248">
            <w:pPr>
              <w:cnfStyle w:val="000000100000" w:firstRow="0" w:lastRow="0" w:firstColumn="0" w:lastColumn="0" w:oddVBand="0" w:evenVBand="0" w:oddHBand="1" w:evenHBand="0" w:firstRowFirstColumn="0" w:firstRowLastColumn="0" w:lastRowFirstColumn="0" w:lastRowLastColumn="0"/>
            </w:pPr>
            <w:r w:rsidRPr="00602248">
              <w:t xml:space="preserve">Lidocaine is contraindicated in patients with a known history of hypersensitivity to local </w:t>
            </w:r>
            <w:proofErr w:type="spellStart"/>
            <w:r w:rsidRPr="00602248">
              <w:t>anesthetics</w:t>
            </w:r>
            <w:proofErr w:type="spellEnd"/>
            <w:r w:rsidRPr="00602248">
              <w:t xml:space="preserve"> of the amide-type.</w:t>
            </w:r>
          </w:p>
        </w:tc>
        <w:tc>
          <w:tcPr>
            <w:tcW w:w="2151" w:type="dxa"/>
          </w:tcPr>
          <w:p w:rsidR="00A1693F" w:rsidRPr="00602248" w:rsidRDefault="00380D36" w:rsidP="00602248">
            <w:pPr>
              <w:cnfStyle w:val="000000100000" w:firstRow="0" w:lastRow="0" w:firstColumn="0" w:lastColumn="0" w:oddVBand="0" w:evenVBand="0" w:oddHBand="1" w:evenHBand="0" w:firstRowFirstColumn="0" w:firstRowLastColumn="0" w:lastRowFirstColumn="0" w:lastRowLastColumn="0"/>
            </w:pPr>
            <w:r w:rsidRPr="00602248">
              <w:t>Rapidly effective, short-acting (60 minutes duration, with maximum effect at 15 minutes)</w:t>
            </w:r>
          </w:p>
          <w:p w:rsidR="002823CF" w:rsidRPr="00602248" w:rsidRDefault="00F03C83" w:rsidP="00602248">
            <w:pPr>
              <w:cnfStyle w:val="000000100000" w:firstRow="0" w:lastRow="0" w:firstColumn="0" w:lastColumn="0" w:oddVBand="0" w:evenVBand="0" w:oddHBand="1" w:evenHBand="0" w:firstRowFirstColumn="0" w:firstRowLastColumn="0" w:lastRowFirstColumn="0" w:lastRowLastColumn="0"/>
            </w:pPr>
            <w:r w:rsidRPr="00602248">
              <w:t>Dose-</w:t>
            </w:r>
            <w:r w:rsidR="005A02EF" w:rsidRPr="00602248">
              <w:t>5mg/kg</w:t>
            </w:r>
          </w:p>
          <w:p w:rsidR="00514E3D" w:rsidRPr="00602248" w:rsidRDefault="00514E3D" w:rsidP="00602248">
            <w:pPr>
              <w:cnfStyle w:val="000000100000" w:firstRow="0" w:lastRow="0" w:firstColumn="0" w:lastColumn="0" w:oddVBand="0" w:evenVBand="0" w:oddHBand="1" w:evenHBand="0" w:firstRowFirstColumn="0" w:firstRowLastColumn="0" w:lastRowFirstColumn="0" w:lastRowLastColumn="0"/>
            </w:pPr>
            <w:r w:rsidRPr="00602248">
              <w:t>Onset &lt;4 mins</w:t>
            </w:r>
          </w:p>
          <w:p w:rsidR="00F03C83" w:rsidRPr="00602248" w:rsidRDefault="00F03C83" w:rsidP="00602248">
            <w:pPr>
              <w:cnfStyle w:val="000000100000" w:firstRow="0" w:lastRow="0" w:firstColumn="0" w:lastColumn="0" w:oddVBand="0" w:evenVBand="0" w:oddHBand="1" w:evenHBand="0" w:firstRowFirstColumn="0" w:firstRowLastColumn="0" w:lastRowFirstColumn="0" w:lastRowLastColumn="0"/>
            </w:pPr>
            <w:r w:rsidRPr="00602248">
              <w:t>Toxic effects are usually related to central nervous system effects</w:t>
            </w:r>
            <w:r w:rsidR="005A02EF" w:rsidRPr="00602248">
              <w:t>.</w:t>
            </w:r>
          </w:p>
          <w:p w:rsidR="00862571" w:rsidRPr="00602248" w:rsidRDefault="00862571" w:rsidP="00602248">
            <w:pPr>
              <w:cnfStyle w:val="000000100000" w:firstRow="0" w:lastRow="0" w:firstColumn="0" w:lastColumn="0" w:oddVBand="0" w:evenVBand="0" w:oddHBand="1" w:evenHBand="0" w:firstRowFirstColumn="0" w:firstRowLastColumn="0" w:lastRowFirstColumn="0" w:lastRowLastColumn="0"/>
            </w:pPr>
          </w:p>
          <w:p w:rsidR="00862571" w:rsidRPr="00602248" w:rsidRDefault="00862571" w:rsidP="00602248">
            <w:pPr>
              <w:cnfStyle w:val="000000100000" w:firstRow="0" w:lastRow="0" w:firstColumn="0" w:lastColumn="0" w:oddVBand="0" w:evenVBand="0" w:oddHBand="1" w:evenHBand="0" w:firstRowFirstColumn="0" w:firstRowLastColumn="0" w:lastRowFirstColumn="0" w:lastRowLastColumn="0"/>
            </w:pPr>
            <w:r w:rsidRPr="00602248">
              <w:t xml:space="preserve">Injection at specific sites </w:t>
            </w:r>
            <w:proofErr w:type="spellStart"/>
            <w:r w:rsidRPr="00602248">
              <w:t>eg</w:t>
            </w:r>
            <w:proofErr w:type="spellEnd"/>
            <w:r w:rsidRPr="00602248">
              <w:t xml:space="preserve"> epidural</w:t>
            </w:r>
          </w:p>
        </w:tc>
      </w:tr>
      <w:tr w:rsidR="00380D36" w:rsidRPr="00602248" w:rsidTr="006571B3">
        <w:trPr>
          <w:cnfStyle w:val="000000010000" w:firstRow="0" w:lastRow="0" w:firstColumn="0" w:lastColumn="0" w:oddVBand="0" w:evenVBand="0" w:oddHBand="0" w:evenHBand="1"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1723" w:type="dxa"/>
          </w:tcPr>
          <w:p w:rsidR="00185E9B" w:rsidRPr="00602248" w:rsidRDefault="008668FB" w:rsidP="00602248">
            <w:proofErr w:type="spellStart"/>
            <w:r w:rsidRPr="00602248">
              <w:t>Mepivicaine</w:t>
            </w:r>
            <w:proofErr w:type="spellEnd"/>
          </w:p>
          <w:p w:rsidR="008668FB" w:rsidRPr="00602248" w:rsidRDefault="008668FB" w:rsidP="00602248">
            <w:r w:rsidRPr="00602248">
              <w:t>(</w:t>
            </w:r>
            <w:proofErr w:type="spellStart"/>
            <w:r w:rsidRPr="00602248">
              <w:t>Carbocaine</w:t>
            </w:r>
            <w:proofErr w:type="spellEnd"/>
            <w:r w:rsidRPr="00602248">
              <w:t>)</w:t>
            </w:r>
          </w:p>
          <w:p w:rsidR="00185E9B" w:rsidRPr="00602248" w:rsidRDefault="00185E9B" w:rsidP="00602248"/>
        </w:tc>
        <w:tc>
          <w:tcPr>
            <w:tcW w:w="1722" w:type="dxa"/>
          </w:tcPr>
          <w:p w:rsidR="00185E9B" w:rsidRPr="00602248" w:rsidRDefault="002478B5" w:rsidP="00602248">
            <w:pPr>
              <w:cnfStyle w:val="000000010000" w:firstRow="0" w:lastRow="0" w:firstColumn="0" w:lastColumn="0" w:oddVBand="0" w:evenVBand="0" w:oddHBand="0" w:evenHBand="1" w:firstRowFirstColumn="0" w:firstRowLastColumn="0" w:lastRowFirstColumn="0" w:lastRowLastColumn="0"/>
            </w:pPr>
            <w:r w:rsidRPr="00602248">
              <w:t>2% mepivacaine hydrochloride</w:t>
            </w:r>
          </w:p>
        </w:tc>
        <w:tc>
          <w:tcPr>
            <w:tcW w:w="2438" w:type="dxa"/>
          </w:tcPr>
          <w:p w:rsidR="00185E9B" w:rsidRPr="00602248" w:rsidRDefault="00380D36" w:rsidP="00602248">
            <w:pPr>
              <w:cnfStyle w:val="000000010000" w:firstRow="0" w:lastRow="0" w:firstColumn="0" w:lastColumn="0" w:oddVBand="0" w:evenVBand="0" w:oddHBand="0" w:evenHBand="1" w:firstRowFirstColumn="0" w:firstRowLastColumn="0" w:lastRowFirstColumn="0" w:lastRowLastColumn="0"/>
            </w:pPr>
            <w:r w:rsidRPr="00602248">
              <w:t xml:space="preserve">local </w:t>
            </w:r>
            <w:proofErr w:type="spellStart"/>
            <w:r w:rsidRPr="00602248">
              <w:t>anesthetic</w:t>
            </w:r>
            <w:proofErr w:type="spellEnd"/>
            <w:r w:rsidRPr="00602248">
              <w:t xml:space="preserve"> agent used to induce regional </w:t>
            </w:r>
            <w:proofErr w:type="spellStart"/>
            <w:r w:rsidRPr="00602248">
              <w:t>anesthesia</w:t>
            </w:r>
            <w:proofErr w:type="spellEnd"/>
            <w:r w:rsidRPr="00602248">
              <w:t xml:space="preserve"> during the lameness examination</w:t>
            </w:r>
            <w:r w:rsidR="00514E3D" w:rsidRPr="00602248">
              <w:t xml:space="preserve"> in horse;</w:t>
            </w:r>
            <w:r w:rsidR="002478B5" w:rsidRPr="00602248">
              <w:t xml:space="preserve"> it causes less tissue reaction than lidocaine </w:t>
            </w:r>
            <w:proofErr w:type="spellStart"/>
            <w:r w:rsidR="002478B5" w:rsidRPr="00602248">
              <w:t>HCl</w:t>
            </w:r>
            <w:proofErr w:type="spellEnd"/>
            <w:r w:rsidR="002478B5" w:rsidRPr="00602248">
              <w:t>.</w:t>
            </w:r>
          </w:p>
          <w:p w:rsidR="00514E3D" w:rsidRPr="00602248" w:rsidRDefault="00514E3D" w:rsidP="00602248">
            <w:pPr>
              <w:cnfStyle w:val="000000010000" w:firstRow="0" w:lastRow="0" w:firstColumn="0" w:lastColumn="0" w:oddVBand="0" w:evenVBand="0" w:oddHBand="0" w:evenHBand="1" w:firstRowFirstColumn="0" w:firstRowLastColumn="0" w:lastRowFirstColumn="0" w:lastRowLastColumn="0"/>
            </w:pPr>
          </w:p>
          <w:p w:rsidR="00514E3D" w:rsidRPr="00602248" w:rsidRDefault="00514E3D" w:rsidP="00602248">
            <w:pPr>
              <w:cnfStyle w:val="000000010000" w:firstRow="0" w:lastRow="0" w:firstColumn="0" w:lastColumn="0" w:oddVBand="0" w:evenVBand="0" w:oddHBand="0" w:evenHBand="1" w:firstRowFirstColumn="0" w:firstRowLastColumn="0" w:lastRowFirstColumn="0" w:lastRowLastColumn="0"/>
            </w:pPr>
            <w:r w:rsidRPr="00602248">
              <w:t>Mechanism of action</w:t>
            </w:r>
          </w:p>
          <w:p w:rsidR="00514E3D" w:rsidRPr="00602248" w:rsidRDefault="00514E3D" w:rsidP="00602248">
            <w:pPr>
              <w:cnfStyle w:val="000000010000" w:firstRow="0" w:lastRow="0" w:firstColumn="0" w:lastColumn="0" w:oddVBand="0" w:evenVBand="0" w:oddHBand="0" w:evenHBand="1" w:firstRowFirstColumn="0" w:firstRowLastColumn="0" w:lastRowFirstColumn="0" w:lastRowLastColumn="0"/>
            </w:pPr>
            <w:r w:rsidRPr="00602248">
              <w:t xml:space="preserve">Local </w:t>
            </w:r>
            <w:proofErr w:type="spellStart"/>
            <w:r w:rsidRPr="00602248">
              <w:t>anesthetics</w:t>
            </w:r>
            <w:proofErr w:type="spellEnd"/>
            <w:r w:rsidRPr="00602248">
              <w:t xml:space="preserve"> block the generation and the conduction of nerve impulses, by increasing the threshold for electrical excitation in the nerve, by slowing the propagation of the nerve impulse, and by reducing the rate of rise of the action potential.</w:t>
            </w:r>
          </w:p>
        </w:tc>
        <w:tc>
          <w:tcPr>
            <w:tcW w:w="3013" w:type="dxa"/>
          </w:tcPr>
          <w:p w:rsidR="006571B3" w:rsidRPr="00602248" w:rsidRDefault="006571B3" w:rsidP="00602248">
            <w:pPr>
              <w:cnfStyle w:val="000000010000" w:firstRow="0" w:lastRow="0" w:firstColumn="0" w:lastColumn="0" w:oddVBand="0" w:evenVBand="0" w:oddHBand="0" w:evenHBand="1" w:firstRowFirstColumn="0" w:firstRowLastColumn="0" w:lastRowFirstColumn="0" w:lastRowLastColumn="0"/>
            </w:pPr>
            <w:r w:rsidRPr="00602248">
              <w:t xml:space="preserve">contraindicated in patients with a known hypersensitivity to amide type local </w:t>
            </w:r>
            <w:proofErr w:type="spellStart"/>
            <w:r w:rsidRPr="00602248">
              <w:t>anesthetics</w:t>
            </w:r>
            <w:proofErr w:type="spellEnd"/>
            <w:r w:rsidRPr="00602248">
              <w:t>.</w:t>
            </w:r>
          </w:p>
          <w:p w:rsidR="00185E9B" w:rsidRPr="00602248" w:rsidRDefault="00185E9B" w:rsidP="00602248">
            <w:pPr>
              <w:cnfStyle w:val="000000010000" w:firstRow="0" w:lastRow="0" w:firstColumn="0" w:lastColumn="0" w:oddVBand="0" w:evenVBand="0" w:oddHBand="0" w:evenHBand="1" w:firstRowFirstColumn="0" w:firstRowLastColumn="0" w:lastRowFirstColumn="0" w:lastRowLastColumn="0"/>
            </w:pPr>
            <w:bookmarkStart w:id="0" w:name="ccbd9fc3-add9-4d66-8054-44a86ece0fe9"/>
            <w:bookmarkStart w:id="1" w:name="section-6"/>
            <w:bookmarkEnd w:id="0"/>
            <w:bookmarkEnd w:id="1"/>
          </w:p>
        </w:tc>
        <w:tc>
          <w:tcPr>
            <w:tcW w:w="2151" w:type="dxa"/>
          </w:tcPr>
          <w:p w:rsidR="00185E9B" w:rsidRPr="00602248" w:rsidRDefault="002478B5" w:rsidP="00602248">
            <w:pPr>
              <w:cnfStyle w:val="000000010000" w:firstRow="0" w:lastRow="0" w:firstColumn="0" w:lastColumn="0" w:oddVBand="0" w:evenVBand="0" w:oddHBand="0" w:evenHBand="1" w:firstRowFirstColumn="0" w:firstRowLastColumn="0" w:lastRowFirstColumn="0" w:lastRowLastColumn="0"/>
            </w:pPr>
            <w:r w:rsidRPr="00602248">
              <w:t>Long lasting, gait characteristics persist beyond 2 hours, though full effect is seen only for 15-60 minutes</w:t>
            </w:r>
            <w:r w:rsidR="005A02EF" w:rsidRPr="00602248">
              <w:t>.</w:t>
            </w:r>
          </w:p>
          <w:p w:rsidR="00514E3D" w:rsidRPr="00602248" w:rsidRDefault="002823CF" w:rsidP="00602248">
            <w:pPr>
              <w:cnfStyle w:val="000000010000" w:firstRow="0" w:lastRow="0" w:firstColumn="0" w:lastColumn="0" w:oddVBand="0" w:evenVBand="0" w:oddHBand="0" w:evenHBand="1" w:firstRowFirstColumn="0" w:firstRowLastColumn="0" w:lastRowFirstColumn="0" w:lastRowLastColumn="0"/>
            </w:pPr>
            <w:r w:rsidRPr="00602248">
              <w:t xml:space="preserve">Dose </w:t>
            </w:r>
            <w:r w:rsidR="00005F34" w:rsidRPr="00602248">
              <w:t>-</w:t>
            </w:r>
            <w:r w:rsidR="005A02EF" w:rsidRPr="00602248">
              <w:t>5mg/kg</w:t>
            </w:r>
          </w:p>
          <w:p w:rsidR="00514E3D" w:rsidRPr="00602248" w:rsidRDefault="00514E3D" w:rsidP="00602248">
            <w:pPr>
              <w:cnfStyle w:val="000000010000" w:firstRow="0" w:lastRow="0" w:firstColumn="0" w:lastColumn="0" w:oddVBand="0" w:evenVBand="0" w:oddHBand="0" w:evenHBand="1" w:firstRowFirstColumn="0" w:firstRowLastColumn="0" w:lastRowFirstColumn="0" w:lastRowLastColumn="0"/>
            </w:pPr>
            <w:r w:rsidRPr="00602248">
              <w:t>Onset &lt;4mins</w:t>
            </w:r>
          </w:p>
          <w:p w:rsidR="00514E3D" w:rsidRPr="00602248" w:rsidRDefault="00514E3D" w:rsidP="00602248">
            <w:pPr>
              <w:cnfStyle w:val="000000010000" w:firstRow="0" w:lastRow="0" w:firstColumn="0" w:lastColumn="0" w:oddVBand="0" w:evenVBand="0" w:oddHBand="0" w:evenHBand="1" w:firstRowFirstColumn="0" w:firstRowLastColumn="0" w:lastRowFirstColumn="0" w:lastRowLastColumn="0"/>
            </w:pPr>
            <w:r w:rsidRPr="00602248">
              <w:t>Possible seizures and cardiotoxicity with overdose</w:t>
            </w:r>
          </w:p>
          <w:p w:rsidR="00862571" w:rsidRPr="00602248" w:rsidRDefault="00862571" w:rsidP="00602248">
            <w:pPr>
              <w:cnfStyle w:val="000000010000" w:firstRow="0" w:lastRow="0" w:firstColumn="0" w:lastColumn="0" w:oddVBand="0" w:evenVBand="0" w:oddHBand="0" w:evenHBand="1" w:firstRowFirstColumn="0" w:firstRowLastColumn="0" w:lastRowFirstColumn="0" w:lastRowLastColumn="0"/>
            </w:pPr>
            <w:r w:rsidRPr="00602248">
              <w:t xml:space="preserve">Injection for peripheral nerve blocks not for epidural, caudal nerve block or spinal anaesthesia </w:t>
            </w:r>
          </w:p>
        </w:tc>
      </w:tr>
      <w:tr w:rsidR="00380D36" w:rsidRPr="00602248" w:rsidTr="006571B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723" w:type="dxa"/>
          </w:tcPr>
          <w:p w:rsidR="00185E9B" w:rsidRPr="00602248" w:rsidRDefault="008668FB" w:rsidP="00602248">
            <w:proofErr w:type="spellStart"/>
            <w:r w:rsidRPr="00602248">
              <w:t>Bupivicaine</w:t>
            </w:r>
            <w:proofErr w:type="spellEnd"/>
          </w:p>
        </w:tc>
        <w:tc>
          <w:tcPr>
            <w:tcW w:w="1722" w:type="dxa"/>
          </w:tcPr>
          <w:p w:rsidR="00185E9B" w:rsidRPr="00602248" w:rsidRDefault="002823CF" w:rsidP="00602248">
            <w:pPr>
              <w:cnfStyle w:val="000000100000" w:firstRow="0" w:lastRow="0" w:firstColumn="0" w:lastColumn="0" w:oddVBand="0" w:evenVBand="0" w:oddHBand="1" w:evenHBand="0" w:firstRowFirstColumn="0" w:firstRowLastColumn="0" w:lastRowFirstColumn="0" w:lastRowLastColumn="0"/>
            </w:pPr>
            <w:r w:rsidRPr="00602248">
              <w:t xml:space="preserve">0.5-0.75% </w:t>
            </w:r>
            <w:hyperlink r:id="rId7" w:history="1">
              <w:r w:rsidR="00AD3B4C" w:rsidRPr="00602248">
                <w:rPr>
                  <w:rStyle w:val="Hyperlink"/>
                  <w:color w:val="auto"/>
                  <w:u w:val="none"/>
                </w:rPr>
                <w:t>Bupivacaine hydrochloride</w:t>
              </w:r>
            </w:hyperlink>
          </w:p>
        </w:tc>
        <w:tc>
          <w:tcPr>
            <w:tcW w:w="2438" w:type="dxa"/>
          </w:tcPr>
          <w:p w:rsidR="00185E9B" w:rsidRPr="00602248" w:rsidRDefault="00AD3B4C" w:rsidP="00602248">
            <w:pPr>
              <w:cnfStyle w:val="000000100000" w:firstRow="0" w:lastRow="0" w:firstColumn="0" w:lastColumn="0" w:oddVBand="0" w:evenVBand="0" w:oddHBand="1" w:evenHBand="0" w:firstRowFirstColumn="0" w:firstRowLastColumn="0" w:lastRowFirstColumn="0" w:lastRowLastColumn="0"/>
            </w:pPr>
            <w:r w:rsidRPr="00602248">
              <w:t xml:space="preserve">Used </w:t>
            </w:r>
            <w:proofErr w:type="gramStart"/>
            <w:r w:rsidRPr="00602248">
              <w:t>for the production of</w:t>
            </w:r>
            <w:proofErr w:type="gramEnd"/>
            <w:r w:rsidRPr="00602248">
              <w:t xml:space="preserve"> local anaesthesia </w:t>
            </w:r>
            <w:r w:rsidR="005B16CD" w:rsidRPr="00602248">
              <w:t>by percutaneous infiltration.</w:t>
            </w:r>
          </w:p>
          <w:p w:rsidR="00602248" w:rsidRPr="00602248" w:rsidRDefault="00602248" w:rsidP="00602248">
            <w:pPr>
              <w:cnfStyle w:val="000000100000" w:firstRow="0" w:lastRow="0" w:firstColumn="0" w:lastColumn="0" w:oddVBand="0" w:evenVBand="0" w:oddHBand="1" w:evenHBand="0" w:firstRowFirstColumn="0" w:firstRowLastColumn="0" w:lastRowFirstColumn="0" w:lastRowLastColumn="0"/>
            </w:pPr>
          </w:p>
          <w:p w:rsidR="00602248" w:rsidRPr="00602248" w:rsidRDefault="00602248" w:rsidP="00602248">
            <w:pPr>
              <w:cnfStyle w:val="000000100000" w:firstRow="0" w:lastRow="0" w:firstColumn="0" w:lastColumn="0" w:oddVBand="0" w:evenVBand="0" w:oddHBand="1" w:evenHBand="0" w:firstRowFirstColumn="0" w:firstRowLastColumn="0" w:lastRowFirstColumn="0" w:lastRowLastColumn="0"/>
            </w:pPr>
            <w:r>
              <w:t>Mechanism of action-</w:t>
            </w:r>
            <w:r w:rsidRPr="00602248">
              <w:t xml:space="preserve"> bupivacaine block the generation and the conducti</w:t>
            </w:r>
            <w:r>
              <w:t>on of nerve impulses,</w:t>
            </w:r>
            <w:bookmarkStart w:id="2" w:name="_GoBack"/>
            <w:bookmarkEnd w:id="2"/>
            <w:r w:rsidRPr="00602248">
              <w:t xml:space="preserve"> by increasing the threshold for electrical excitation in the nerve, by slowing the propagation of the </w:t>
            </w:r>
            <w:r w:rsidRPr="00602248">
              <w:lastRenderedPageBreak/>
              <w:t>nerve impulse, and by reducing the rate of rise of the action potential</w:t>
            </w:r>
          </w:p>
        </w:tc>
        <w:tc>
          <w:tcPr>
            <w:tcW w:w="3013" w:type="dxa"/>
          </w:tcPr>
          <w:p w:rsidR="007922EA" w:rsidRPr="00602248" w:rsidRDefault="00862571" w:rsidP="00602248">
            <w:pPr>
              <w:cnfStyle w:val="000000100000" w:firstRow="0" w:lastRow="0" w:firstColumn="0" w:lastColumn="0" w:oddVBand="0" w:evenVBand="0" w:oddHBand="1" w:evenHBand="0" w:firstRowFirstColumn="0" w:firstRowLastColumn="0" w:lastRowFirstColumn="0" w:lastRowLastColumn="0"/>
            </w:pPr>
            <w:r w:rsidRPr="00602248">
              <w:lastRenderedPageBreak/>
              <w:t>Contraindicated</w:t>
            </w:r>
            <w:r w:rsidR="00EC336C" w:rsidRPr="00602248">
              <w:t xml:space="preserve"> in patients with a known hypersensitivity to amide type local </w:t>
            </w:r>
            <w:proofErr w:type="spellStart"/>
            <w:r w:rsidR="00EC336C" w:rsidRPr="00602248">
              <w:t>anesthetics</w:t>
            </w:r>
            <w:proofErr w:type="spellEnd"/>
          </w:p>
        </w:tc>
        <w:tc>
          <w:tcPr>
            <w:tcW w:w="2151" w:type="dxa"/>
          </w:tcPr>
          <w:p w:rsidR="00990E8A" w:rsidRPr="00602248" w:rsidRDefault="005A02EF" w:rsidP="00602248">
            <w:pPr>
              <w:cnfStyle w:val="000000100000" w:firstRow="0" w:lastRow="0" w:firstColumn="0" w:lastColumn="0" w:oddVBand="0" w:evenVBand="0" w:oddHBand="1" w:evenHBand="0" w:firstRowFirstColumn="0" w:firstRowLastColumn="0" w:lastRowFirstColumn="0" w:lastRowLastColumn="0"/>
            </w:pPr>
            <w:proofErr w:type="spellStart"/>
            <w:r w:rsidRPr="00602248">
              <w:t>Administerd</w:t>
            </w:r>
            <w:proofErr w:type="spellEnd"/>
            <w:r w:rsidRPr="00602248">
              <w:t xml:space="preserve"> via injection</w:t>
            </w:r>
          </w:p>
          <w:p w:rsidR="005A02EF" w:rsidRPr="00602248" w:rsidRDefault="005A02EF" w:rsidP="00602248">
            <w:pPr>
              <w:cnfStyle w:val="000000100000" w:firstRow="0" w:lastRow="0" w:firstColumn="0" w:lastColumn="0" w:oddVBand="0" w:evenVBand="0" w:oddHBand="1" w:evenHBand="0" w:firstRowFirstColumn="0" w:firstRowLastColumn="0" w:lastRowFirstColumn="0" w:lastRowLastColumn="0"/>
            </w:pPr>
            <w:r w:rsidRPr="00602248">
              <w:t>Dose:2mg/kg</w:t>
            </w:r>
          </w:p>
          <w:p w:rsidR="005A02EF" w:rsidRPr="00602248" w:rsidRDefault="005A02EF" w:rsidP="00602248">
            <w:pPr>
              <w:cnfStyle w:val="000000100000" w:firstRow="0" w:lastRow="0" w:firstColumn="0" w:lastColumn="0" w:oddVBand="0" w:evenVBand="0" w:oddHBand="1" w:evenHBand="0" w:firstRowFirstColumn="0" w:firstRowLastColumn="0" w:lastRowFirstColumn="0" w:lastRowLastColumn="0"/>
            </w:pPr>
            <w:r w:rsidRPr="00602248">
              <w:t>Onset &lt;10 mins</w:t>
            </w:r>
          </w:p>
          <w:p w:rsidR="005A02EF" w:rsidRPr="00602248" w:rsidRDefault="005A02EF" w:rsidP="00602248">
            <w:pPr>
              <w:cnfStyle w:val="000000100000" w:firstRow="0" w:lastRow="0" w:firstColumn="0" w:lastColumn="0" w:oddVBand="0" w:evenVBand="0" w:oddHBand="1" w:evenHBand="0" w:firstRowFirstColumn="0" w:firstRowLastColumn="0" w:lastRowFirstColumn="0" w:lastRowLastColumn="0"/>
            </w:pPr>
            <w:r w:rsidRPr="00602248">
              <w:t>Duration 6-10hrs</w:t>
            </w:r>
          </w:p>
          <w:p w:rsidR="00D938AB" w:rsidRPr="00602248" w:rsidRDefault="00D938AB" w:rsidP="00602248">
            <w:pPr>
              <w:cnfStyle w:val="000000100000" w:firstRow="0" w:lastRow="0" w:firstColumn="0" w:lastColumn="0" w:oddVBand="0" w:evenVBand="0" w:oddHBand="1" w:evenHBand="0" w:firstRowFirstColumn="0" w:firstRowLastColumn="0" w:lastRowFirstColumn="0" w:lastRowLastColumn="0"/>
            </w:pPr>
          </w:p>
          <w:p w:rsidR="00D938AB" w:rsidRPr="00602248" w:rsidRDefault="00D938AB" w:rsidP="00602248">
            <w:pPr>
              <w:cnfStyle w:val="000000100000" w:firstRow="0" w:lastRow="0" w:firstColumn="0" w:lastColumn="0" w:oddVBand="0" w:evenVBand="0" w:oddHBand="1" w:evenHBand="0" w:firstRowFirstColumn="0" w:firstRowLastColumn="0" w:lastRowFirstColumn="0" w:lastRowLastColumn="0"/>
            </w:pPr>
          </w:p>
          <w:p w:rsidR="00EC336C" w:rsidRPr="00602248" w:rsidRDefault="00EC336C" w:rsidP="00602248">
            <w:pPr>
              <w:cnfStyle w:val="000000100000" w:firstRow="0" w:lastRow="0" w:firstColumn="0" w:lastColumn="0" w:oddVBand="0" w:evenVBand="0" w:oddHBand="1" w:evenHBand="0" w:firstRowFirstColumn="0" w:firstRowLastColumn="0" w:lastRowFirstColumn="0" w:lastRowLastColumn="0"/>
            </w:pPr>
          </w:p>
          <w:p w:rsidR="002823CF" w:rsidRPr="00602248" w:rsidRDefault="002823CF" w:rsidP="00602248">
            <w:pPr>
              <w:cnfStyle w:val="000000100000" w:firstRow="0" w:lastRow="0" w:firstColumn="0" w:lastColumn="0" w:oddVBand="0" w:evenVBand="0" w:oddHBand="1" w:evenHBand="0" w:firstRowFirstColumn="0" w:firstRowLastColumn="0" w:lastRowFirstColumn="0" w:lastRowLastColumn="0"/>
            </w:pPr>
          </w:p>
        </w:tc>
      </w:tr>
    </w:tbl>
    <w:p w:rsidR="00841AA1" w:rsidRPr="00602248" w:rsidRDefault="00841AA1" w:rsidP="00602248"/>
    <w:p w:rsidR="00EC336C" w:rsidRPr="00602248" w:rsidRDefault="00EC336C" w:rsidP="00602248"/>
    <w:p w:rsidR="00005F34" w:rsidRPr="00602248" w:rsidRDefault="00005F34" w:rsidP="00602248"/>
    <w:p w:rsidR="00EC336C" w:rsidRPr="00602248" w:rsidRDefault="00EC336C" w:rsidP="00602248"/>
    <w:sectPr w:rsidR="00EC336C" w:rsidRPr="00602248" w:rsidSect="008B6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82A83"/>
    <w:multiLevelType w:val="hybridMultilevel"/>
    <w:tmpl w:val="529CB690"/>
    <w:lvl w:ilvl="0" w:tplc="2C090001">
      <w:start w:val="1"/>
      <w:numFmt w:val="bullet"/>
      <w:lvlText w:val=""/>
      <w:lvlJc w:val="left"/>
      <w:pPr>
        <w:ind w:left="502"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5FFF7720"/>
    <w:multiLevelType w:val="multilevel"/>
    <w:tmpl w:val="CC94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4F56E6"/>
    <w:rsid w:val="00005F34"/>
    <w:rsid w:val="0014301C"/>
    <w:rsid w:val="00185E9B"/>
    <w:rsid w:val="001867A2"/>
    <w:rsid w:val="00214237"/>
    <w:rsid w:val="002478B5"/>
    <w:rsid w:val="002823CF"/>
    <w:rsid w:val="00380D36"/>
    <w:rsid w:val="003B2410"/>
    <w:rsid w:val="00430CB7"/>
    <w:rsid w:val="004A46ED"/>
    <w:rsid w:val="004F56E6"/>
    <w:rsid w:val="00514E3D"/>
    <w:rsid w:val="005A02EF"/>
    <w:rsid w:val="005B16CD"/>
    <w:rsid w:val="00602248"/>
    <w:rsid w:val="00650A3D"/>
    <w:rsid w:val="006571B3"/>
    <w:rsid w:val="00662178"/>
    <w:rsid w:val="006E1A79"/>
    <w:rsid w:val="0071490B"/>
    <w:rsid w:val="007922EA"/>
    <w:rsid w:val="00841AA1"/>
    <w:rsid w:val="00862571"/>
    <w:rsid w:val="008668FB"/>
    <w:rsid w:val="008B658B"/>
    <w:rsid w:val="00990E8A"/>
    <w:rsid w:val="009A3C13"/>
    <w:rsid w:val="00A1693F"/>
    <w:rsid w:val="00A505E4"/>
    <w:rsid w:val="00AC5621"/>
    <w:rsid w:val="00AD3B4C"/>
    <w:rsid w:val="00B54CF7"/>
    <w:rsid w:val="00BC075A"/>
    <w:rsid w:val="00D638A1"/>
    <w:rsid w:val="00D938AB"/>
    <w:rsid w:val="00DF084A"/>
    <w:rsid w:val="00E139D3"/>
    <w:rsid w:val="00E550B7"/>
    <w:rsid w:val="00E9122F"/>
    <w:rsid w:val="00EC336C"/>
    <w:rsid w:val="00F03C83"/>
    <w:rsid w:val="00F13232"/>
    <w:rsid w:val="00F50738"/>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A62E"/>
  <w15:docId w15:val="{725ABA2D-5460-4CAF-9ADD-BDA85162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58B"/>
  </w:style>
  <w:style w:type="paragraph" w:styleId="Heading1">
    <w:name w:val="heading 1"/>
    <w:basedOn w:val="Normal"/>
    <w:next w:val="Normal"/>
    <w:link w:val="Heading1Char"/>
    <w:uiPriority w:val="9"/>
    <w:qFormat/>
    <w:rsid w:val="00657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C5621"/>
    <w:pPr>
      <w:spacing w:before="100" w:beforeAutospacing="1" w:after="100" w:afterAutospacing="1" w:line="240" w:lineRule="auto"/>
      <w:outlineLvl w:val="1"/>
    </w:pPr>
    <w:rPr>
      <w:rFonts w:ascii="Times New Roman" w:eastAsia="Times New Roman" w:hAnsi="Times New Roman" w:cs="Times New Roman"/>
      <w:b/>
      <w:bCs/>
      <w:sz w:val="36"/>
      <w:szCs w:val="36"/>
      <w:lang w:eastAsia="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6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4">
    <w:name w:val="Light Shading Accent 4"/>
    <w:basedOn w:val="TableNormal"/>
    <w:uiPriority w:val="60"/>
    <w:rsid w:val="004F56E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4F56E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unhideWhenUsed/>
    <w:rsid w:val="00A505E4"/>
    <w:pPr>
      <w:spacing w:before="100" w:beforeAutospacing="1" w:after="100" w:afterAutospacing="1" w:line="240" w:lineRule="auto"/>
    </w:pPr>
    <w:rPr>
      <w:rFonts w:ascii="Times New Roman" w:eastAsia="Times New Roman" w:hAnsi="Times New Roman" w:cs="Times New Roman"/>
      <w:sz w:val="24"/>
      <w:szCs w:val="24"/>
      <w:lang w:eastAsia="en-JM"/>
    </w:rPr>
  </w:style>
  <w:style w:type="paragraph" w:styleId="ListParagraph">
    <w:name w:val="List Paragraph"/>
    <w:basedOn w:val="Normal"/>
    <w:uiPriority w:val="34"/>
    <w:qFormat/>
    <w:rsid w:val="00841AA1"/>
    <w:pPr>
      <w:spacing w:after="160" w:line="259" w:lineRule="auto"/>
      <w:ind w:left="720"/>
      <w:contextualSpacing/>
    </w:pPr>
    <w:rPr>
      <w:lang w:val="en-TT"/>
    </w:rPr>
  </w:style>
  <w:style w:type="character" w:customStyle="1" w:styleId="Heading2Char">
    <w:name w:val="Heading 2 Char"/>
    <w:basedOn w:val="DefaultParagraphFont"/>
    <w:link w:val="Heading2"/>
    <w:uiPriority w:val="9"/>
    <w:rsid w:val="00AC5621"/>
    <w:rPr>
      <w:rFonts w:ascii="Times New Roman" w:eastAsia="Times New Roman" w:hAnsi="Times New Roman" w:cs="Times New Roman"/>
      <w:b/>
      <w:bCs/>
      <w:sz w:val="36"/>
      <w:szCs w:val="36"/>
      <w:lang w:eastAsia="en-JM"/>
    </w:rPr>
  </w:style>
  <w:style w:type="character" w:styleId="Strong">
    <w:name w:val="Strong"/>
    <w:basedOn w:val="DefaultParagraphFont"/>
    <w:uiPriority w:val="22"/>
    <w:qFormat/>
    <w:rsid w:val="00AC5621"/>
    <w:rPr>
      <w:b/>
      <w:bCs/>
    </w:rPr>
  </w:style>
  <w:style w:type="character" w:styleId="Hyperlink">
    <w:name w:val="Hyperlink"/>
    <w:basedOn w:val="DefaultParagraphFont"/>
    <w:uiPriority w:val="99"/>
    <w:unhideWhenUsed/>
    <w:rsid w:val="00380D36"/>
    <w:rPr>
      <w:color w:val="0000FF"/>
      <w:u w:val="single"/>
    </w:rPr>
  </w:style>
  <w:style w:type="character" w:customStyle="1" w:styleId="disabledresolveddrug">
    <w:name w:val="disabledresolveddrug"/>
    <w:basedOn w:val="DefaultParagraphFont"/>
    <w:rsid w:val="002478B5"/>
  </w:style>
  <w:style w:type="character" w:customStyle="1" w:styleId="Heading1Char">
    <w:name w:val="Heading 1 Char"/>
    <w:basedOn w:val="DefaultParagraphFont"/>
    <w:link w:val="Heading1"/>
    <w:uiPriority w:val="9"/>
    <w:rsid w:val="006571B3"/>
    <w:rPr>
      <w:rFonts w:asciiTheme="majorHAnsi" w:eastAsiaTheme="majorEastAsia" w:hAnsiTheme="majorHAnsi" w:cstheme="majorBidi"/>
      <w:color w:val="365F91" w:themeColor="accent1" w:themeShade="BF"/>
      <w:sz w:val="32"/>
      <w:szCs w:val="32"/>
    </w:rPr>
  </w:style>
  <w:style w:type="paragraph" w:customStyle="1" w:styleId="first">
    <w:name w:val="first"/>
    <w:basedOn w:val="Normal"/>
    <w:rsid w:val="006571B3"/>
    <w:pPr>
      <w:spacing w:before="100" w:beforeAutospacing="1" w:after="100" w:afterAutospacing="1" w:line="240" w:lineRule="auto"/>
    </w:pPr>
    <w:rPr>
      <w:rFonts w:ascii="Times New Roman" w:eastAsia="Times New Roman" w:hAnsi="Times New Roman" w:cs="Times New Roman"/>
      <w:sz w:val="24"/>
      <w:szCs w:val="24"/>
      <w:lang w:val="en-TT" w:eastAsia="en-TT"/>
    </w:rPr>
  </w:style>
  <w:style w:type="character" w:customStyle="1" w:styleId="italics">
    <w:name w:val="italics"/>
    <w:basedOn w:val="DefaultParagraphFont"/>
    <w:rsid w:val="006571B3"/>
  </w:style>
  <w:style w:type="character" w:styleId="UnresolvedMention">
    <w:name w:val="Unresolved Mention"/>
    <w:basedOn w:val="DefaultParagraphFont"/>
    <w:uiPriority w:val="99"/>
    <w:semiHidden/>
    <w:unhideWhenUsed/>
    <w:rsid w:val="00EC336C"/>
    <w:rPr>
      <w:color w:val="808080"/>
      <w:shd w:val="clear" w:color="auto" w:fill="E6E6E6"/>
    </w:rPr>
  </w:style>
  <w:style w:type="character" w:customStyle="1" w:styleId="emphasis">
    <w:name w:val="emphasis"/>
    <w:basedOn w:val="DefaultParagraphFont"/>
    <w:rsid w:val="00514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61866">
      <w:bodyDiv w:val="1"/>
      <w:marLeft w:val="0"/>
      <w:marRight w:val="0"/>
      <w:marTop w:val="0"/>
      <w:marBottom w:val="0"/>
      <w:divBdr>
        <w:top w:val="none" w:sz="0" w:space="0" w:color="auto"/>
        <w:left w:val="none" w:sz="0" w:space="0" w:color="auto"/>
        <w:bottom w:val="none" w:sz="0" w:space="0" w:color="auto"/>
        <w:right w:val="none" w:sz="0" w:space="0" w:color="auto"/>
      </w:divBdr>
    </w:div>
    <w:div w:id="117798999">
      <w:bodyDiv w:val="1"/>
      <w:marLeft w:val="0"/>
      <w:marRight w:val="0"/>
      <w:marTop w:val="0"/>
      <w:marBottom w:val="0"/>
      <w:divBdr>
        <w:top w:val="none" w:sz="0" w:space="0" w:color="auto"/>
        <w:left w:val="none" w:sz="0" w:space="0" w:color="auto"/>
        <w:bottom w:val="none" w:sz="0" w:space="0" w:color="auto"/>
        <w:right w:val="none" w:sz="0" w:space="0" w:color="auto"/>
      </w:divBdr>
    </w:div>
    <w:div w:id="921991761">
      <w:bodyDiv w:val="1"/>
      <w:marLeft w:val="0"/>
      <w:marRight w:val="0"/>
      <w:marTop w:val="0"/>
      <w:marBottom w:val="0"/>
      <w:divBdr>
        <w:top w:val="none" w:sz="0" w:space="0" w:color="auto"/>
        <w:left w:val="none" w:sz="0" w:space="0" w:color="auto"/>
        <w:bottom w:val="none" w:sz="0" w:space="0" w:color="auto"/>
        <w:right w:val="none" w:sz="0" w:space="0" w:color="auto"/>
      </w:divBdr>
    </w:div>
    <w:div w:id="1506936018">
      <w:bodyDiv w:val="1"/>
      <w:marLeft w:val="0"/>
      <w:marRight w:val="0"/>
      <w:marTop w:val="0"/>
      <w:marBottom w:val="0"/>
      <w:divBdr>
        <w:top w:val="none" w:sz="0" w:space="0" w:color="auto"/>
        <w:left w:val="none" w:sz="0" w:space="0" w:color="auto"/>
        <w:bottom w:val="none" w:sz="0" w:space="0" w:color="auto"/>
        <w:right w:val="none" w:sz="0" w:space="0" w:color="auto"/>
      </w:divBdr>
    </w:div>
    <w:div w:id="1601723261">
      <w:bodyDiv w:val="1"/>
      <w:marLeft w:val="0"/>
      <w:marRight w:val="0"/>
      <w:marTop w:val="0"/>
      <w:marBottom w:val="0"/>
      <w:divBdr>
        <w:top w:val="none" w:sz="0" w:space="0" w:color="auto"/>
        <w:left w:val="none" w:sz="0" w:space="0" w:color="auto"/>
        <w:bottom w:val="none" w:sz="0" w:space="0" w:color="auto"/>
        <w:right w:val="none" w:sz="0" w:space="0" w:color="auto"/>
      </w:divBdr>
    </w:div>
    <w:div w:id="1616600043">
      <w:bodyDiv w:val="1"/>
      <w:marLeft w:val="0"/>
      <w:marRight w:val="0"/>
      <w:marTop w:val="0"/>
      <w:marBottom w:val="0"/>
      <w:divBdr>
        <w:top w:val="none" w:sz="0" w:space="0" w:color="auto"/>
        <w:left w:val="none" w:sz="0" w:space="0" w:color="auto"/>
        <w:bottom w:val="none" w:sz="0" w:space="0" w:color="auto"/>
        <w:right w:val="none" w:sz="0" w:space="0" w:color="auto"/>
      </w:divBdr>
      <w:divsChild>
        <w:div w:id="1368482570">
          <w:marLeft w:val="0"/>
          <w:marRight w:val="0"/>
          <w:marTop w:val="0"/>
          <w:marBottom w:val="0"/>
          <w:divBdr>
            <w:top w:val="none" w:sz="0" w:space="0" w:color="auto"/>
            <w:left w:val="none" w:sz="0" w:space="0" w:color="auto"/>
            <w:bottom w:val="none" w:sz="0" w:space="0" w:color="auto"/>
            <w:right w:val="none" w:sz="0" w:space="0" w:color="auto"/>
          </w:divBdr>
        </w:div>
        <w:div w:id="638462207">
          <w:marLeft w:val="0"/>
          <w:marRight w:val="0"/>
          <w:marTop w:val="0"/>
          <w:marBottom w:val="0"/>
          <w:divBdr>
            <w:top w:val="none" w:sz="0" w:space="0" w:color="auto"/>
            <w:left w:val="none" w:sz="0" w:space="0" w:color="auto"/>
            <w:bottom w:val="none" w:sz="0" w:space="0" w:color="auto"/>
            <w:right w:val="none" w:sz="0" w:space="0" w:color="auto"/>
          </w:divBdr>
        </w:div>
      </w:divsChild>
    </w:div>
    <w:div w:id="1649360574">
      <w:bodyDiv w:val="1"/>
      <w:marLeft w:val="0"/>
      <w:marRight w:val="0"/>
      <w:marTop w:val="0"/>
      <w:marBottom w:val="0"/>
      <w:divBdr>
        <w:top w:val="none" w:sz="0" w:space="0" w:color="auto"/>
        <w:left w:val="none" w:sz="0" w:space="0" w:color="auto"/>
        <w:bottom w:val="none" w:sz="0" w:space="0" w:color="auto"/>
        <w:right w:val="none" w:sz="0" w:space="0" w:color="auto"/>
      </w:divBdr>
    </w:div>
    <w:div w:id="1684546772">
      <w:bodyDiv w:val="1"/>
      <w:marLeft w:val="0"/>
      <w:marRight w:val="0"/>
      <w:marTop w:val="0"/>
      <w:marBottom w:val="0"/>
      <w:divBdr>
        <w:top w:val="none" w:sz="0" w:space="0" w:color="auto"/>
        <w:left w:val="none" w:sz="0" w:space="0" w:color="auto"/>
        <w:bottom w:val="none" w:sz="0" w:space="0" w:color="auto"/>
        <w:right w:val="none" w:sz="0" w:space="0" w:color="auto"/>
      </w:divBdr>
    </w:div>
    <w:div w:id="1708722492">
      <w:bodyDiv w:val="1"/>
      <w:marLeft w:val="0"/>
      <w:marRight w:val="0"/>
      <w:marTop w:val="0"/>
      <w:marBottom w:val="0"/>
      <w:divBdr>
        <w:top w:val="none" w:sz="0" w:space="0" w:color="auto"/>
        <w:left w:val="none" w:sz="0" w:space="0" w:color="auto"/>
        <w:bottom w:val="none" w:sz="0" w:space="0" w:color="auto"/>
        <w:right w:val="none" w:sz="0" w:space="0" w:color="auto"/>
      </w:divBdr>
    </w:div>
    <w:div w:id="1807239748">
      <w:bodyDiv w:val="1"/>
      <w:marLeft w:val="0"/>
      <w:marRight w:val="0"/>
      <w:marTop w:val="0"/>
      <w:marBottom w:val="0"/>
      <w:divBdr>
        <w:top w:val="none" w:sz="0" w:space="0" w:color="auto"/>
        <w:left w:val="none" w:sz="0" w:space="0" w:color="auto"/>
        <w:bottom w:val="none" w:sz="0" w:space="0" w:color="auto"/>
        <w:right w:val="none" w:sz="0" w:space="0" w:color="auto"/>
      </w:divBdr>
    </w:div>
    <w:div w:id="1947543311">
      <w:bodyDiv w:val="1"/>
      <w:marLeft w:val="0"/>
      <w:marRight w:val="0"/>
      <w:marTop w:val="0"/>
      <w:marBottom w:val="0"/>
      <w:divBdr>
        <w:top w:val="none" w:sz="0" w:space="0" w:color="auto"/>
        <w:left w:val="none" w:sz="0" w:space="0" w:color="auto"/>
        <w:bottom w:val="none" w:sz="0" w:space="0" w:color="auto"/>
        <w:right w:val="none" w:sz="0" w:space="0" w:color="auto"/>
      </w:divBdr>
    </w:div>
    <w:div w:id="2081906860">
      <w:bodyDiv w:val="1"/>
      <w:marLeft w:val="0"/>
      <w:marRight w:val="0"/>
      <w:marTop w:val="0"/>
      <w:marBottom w:val="0"/>
      <w:divBdr>
        <w:top w:val="none" w:sz="0" w:space="0" w:color="auto"/>
        <w:left w:val="none" w:sz="0" w:space="0" w:color="auto"/>
        <w:bottom w:val="none" w:sz="0" w:space="0" w:color="auto"/>
        <w:right w:val="none" w:sz="0" w:space="0" w:color="auto"/>
      </w:divBdr>
    </w:div>
    <w:div w:id="2097747153">
      <w:bodyDiv w:val="1"/>
      <w:marLeft w:val="0"/>
      <w:marRight w:val="0"/>
      <w:marTop w:val="0"/>
      <w:marBottom w:val="0"/>
      <w:divBdr>
        <w:top w:val="none" w:sz="0" w:space="0" w:color="auto"/>
        <w:left w:val="none" w:sz="0" w:space="0" w:color="auto"/>
        <w:bottom w:val="none" w:sz="0" w:space="0" w:color="auto"/>
        <w:right w:val="none" w:sz="0" w:space="0" w:color="auto"/>
      </w:divBdr>
    </w:div>
    <w:div w:id="2111850137">
      <w:bodyDiv w:val="1"/>
      <w:marLeft w:val="0"/>
      <w:marRight w:val="0"/>
      <w:marTop w:val="0"/>
      <w:marBottom w:val="0"/>
      <w:divBdr>
        <w:top w:val="none" w:sz="0" w:space="0" w:color="auto"/>
        <w:left w:val="none" w:sz="0" w:space="0" w:color="auto"/>
        <w:bottom w:val="none" w:sz="0" w:space="0" w:color="auto"/>
        <w:right w:val="none" w:sz="0" w:space="0" w:color="auto"/>
      </w:divBdr>
    </w:div>
    <w:div w:id="213925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rugbank.ca/salts/DBSALT0002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quimed.com/drugs-and-medications/reference/lidocaine-hydrochlori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5161-86F1-4081-86ED-83F515BA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dc:creator>
  <cp:lastModifiedBy>kheju</cp:lastModifiedBy>
  <cp:revision>10</cp:revision>
  <dcterms:created xsi:type="dcterms:W3CDTF">2017-09-12T01:29:00Z</dcterms:created>
  <dcterms:modified xsi:type="dcterms:W3CDTF">2017-09-17T23:59:00Z</dcterms:modified>
</cp:coreProperties>
</file>