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98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357"/>
        <w:gridCol w:w="1247"/>
        <w:gridCol w:w="1594"/>
        <w:gridCol w:w="1059"/>
        <w:gridCol w:w="1521"/>
        <w:gridCol w:w="2626"/>
        <w:gridCol w:w="1383"/>
      </w:tblGrid>
      <w:tr w:rsidR="00076F3F" w:rsidRPr="00CA3BDF" w:rsidTr="00076F3F">
        <w:tc>
          <w:tcPr>
            <w:tcW w:w="629" w:type="pct"/>
            <w:shd w:val="clear" w:color="auto" w:fill="D9D9D9" w:themeFill="background1" w:themeFillShade="D9"/>
          </w:tcPr>
          <w:p w:rsidR="00076F3F" w:rsidRPr="009F342B" w:rsidRDefault="00076F3F" w:rsidP="00D85005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F342B">
              <w:rPr>
                <w:rFonts w:ascii="Times New Roman" w:hAnsi="Times New Roman" w:cs="Times New Roman"/>
                <w:b/>
                <w:color w:val="1F497D" w:themeColor="text2"/>
              </w:rPr>
              <w:t>DRUG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:rsidR="00076F3F" w:rsidRPr="009F342B" w:rsidRDefault="00076F3F" w:rsidP="00D85005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F342B">
              <w:rPr>
                <w:rFonts w:ascii="Times New Roman" w:hAnsi="Times New Roman" w:cs="Times New Roman"/>
                <w:b/>
                <w:color w:val="1F497D" w:themeColor="text2"/>
              </w:rPr>
              <w:t>TRADE NAME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076F3F" w:rsidRPr="009F342B" w:rsidRDefault="00076F3F" w:rsidP="00D85005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F342B">
              <w:rPr>
                <w:rFonts w:ascii="Times New Roman" w:hAnsi="Times New Roman" w:cs="Times New Roman"/>
                <w:b/>
                <w:color w:val="1F497D" w:themeColor="text2"/>
              </w:rPr>
              <w:t>ACTIVE INGREDIENT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076F3F" w:rsidRPr="009F342B" w:rsidRDefault="00076F3F" w:rsidP="00D85005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F342B">
              <w:rPr>
                <w:rFonts w:ascii="Times New Roman" w:hAnsi="Times New Roman" w:cs="Times New Roman"/>
                <w:b/>
                <w:color w:val="1F497D" w:themeColor="text2"/>
              </w:rPr>
              <w:t>INDICATIONS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:rsidR="00076F3F" w:rsidRPr="009F342B" w:rsidRDefault="00076F3F" w:rsidP="00D85005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F342B">
              <w:rPr>
                <w:rFonts w:ascii="Times New Roman" w:hAnsi="Times New Roman" w:cs="Times New Roman"/>
                <w:b/>
                <w:color w:val="1F497D" w:themeColor="text2"/>
              </w:rPr>
              <w:t>DOSAGE</w:t>
            </w:r>
          </w:p>
        </w:tc>
        <w:tc>
          <w:tcPr>
            <w:tcW w:w="1217" w:type="pct"/>
            <w:shd w:val="clear" w:color="auto" w:fill="D9D9D9" w:themeFill="background1" w:themeFillShade="D9"/>
          </w:tcPr>
          <w:p w:rsidR="00076F3F" w:rsidRPr="009F342B" w:rsidRDefault="00076F3F" w:rsidP="00D85005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F342B">
              <w:rPr>
                <w:rFonts w:ascii="Times New Roman" w:hAnsi="Times New Roman" w:cs="Times New Roman"/>
                <w:b/>
                <w:color w:val="1F497D" w:themeColor="text2"/>
              </w:rPr>
              <w:t>CONTRAINDICATIONS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:rsidR="00076F3F" w:rsidRPr="009F342B" w:rsidRDefault="00076F3F" w:rsidP="00D85005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F342B">
              <w:rPr>
                <w:rFonts w:ascii="Times New Roman" w:hAnsi="Times New Roman" w:cs="Times New Roman"/>
                <w:b/>
                <w:color w:val="1F497D" w:themeColor="text2"/>
              </w:rPr>
              <w:t>WITHDRAWAL TIME</w:t>
            </w:r>
          </w:p>
        </w:tc>
      </w:tr>
      <w:tr w:rsidR="00076F3F" w:rsidRPr="00CA3BDF" w:rsidTr="00076F3F">
        <w:tc>
          <w:tcPr>
            <w:tcW w:w="629" w:type="pct"/>
            <w:vMerge w:val="restart"/>
            <w:shd w:val="clear" w:color="auto" w:fill="E5B8B7" w:themeFill="accent2" w:themeFillTint="66"/>
          </w:tcPr>
          <w:p w:rsidR="00076F3F" w:rsidRPr="00EA29DA" w:rsidRDefault="00076F3F" w:rsidP="00D850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A29DA">
              <w:rPr>
                <w:rFonts w:asciiTheme="majorHAnsi" w:hAnsiTheme="majorHAnsi"/>
                <w:b/>
                <w:sz w:val="20"/>
                <w:szCs w:val="20"/>
              </w:rPr>
              <w:t>Fluid therapy</w:t>
            </w:r>
          </w:p>
        </w:tc>
        <w:tc>
          <w:tcPr>
            <w:tcW w:w="578" w:type="pct"/>
          </w:tcPr>
          <w:p w:rsidR="00076F3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8% Dextrose and 0.9% Sodium Chloride Injection USP [1000ml]</w:t>
            </w: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9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Dextrose and Sodium Chloride </w:t>
            </w:r>
          </w:p>
        </w:tc>
        <w:tc>
          <w:tcPr>
            <w:tcW w:w="491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Dehydration as well as </w:t>
            </w:r>
            <w:r w:rsidRPr="00CA3BDF">
              <w:rPr>
                <w:rFonts w:asciiTheme="majorHAnsi" w:hAnsiTheme="majorHAnsi"/>
                <w:sz w:val="20"/>
                <w:szCs w:val="20"/>
              </w:rPr>
              <w:t>supportive therapy</w:t>
            </w:r>
          </w:p>
        </w:tc>
        <w:tc>
          <w:tcPr>
            <w:tcW w:w="705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Depends on stage</w:t>
            </w:r>
            <w:r w:rsidRPr="00CA3BDF">
              <w:rPr>
                <w:rFonts w:asciiTheme="majorHAnsi" w:hAnsiTheme="majorHAnsi"/>
                <w:sz w:val="20"/>
                <w:szCs w:val="20"/>
              </w:rPr>
              <w:t xml:space="preserve"> of dehydration</w:t>
            </w:r>
          </w:p>
        </w:tc>
        <w:tc>
          <w:tcPr>
            <w:tcW w:w="1217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Fluid overload can further cause </w:t>
            </w:r>
            <w:r w:rsidRPr="00CA3BDF">
              <w:rPr>
                <w:rFonts w:asciiTheme="majorHAnsi" w:hAnsiTheme="majorHAnsi"/>
                <w:sz w:val="20"/>
                <w:szCs w:val="20"/>
              </w:rPr>
              <w:t>Renal failure and Heart failure</w:t>
            </w:r>
          </w:p>
        </w:tc>
        <w:tc>
          <w:tcPr>
            <w:tcW w:w="641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6F3F" w:rsidRPr="00CA3BDF" w:rsidTr="00076F3F">
        <w:tc>
          <w:tcPr>
            <w:tcW w:w="629" w:type="pct"/>
            <w:vMerge/>
            <w:shd w:val="clear" w:color="auto" w:fill="E5B8B7" w:themeFill="accent2" w:themeFillTint="66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8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Dextrose 50%</w:t>
            </w:r>
          </w:p>
        </w:tc>
        <w:tc>
          <w:tcPr>
            <w:tcW w:w="739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Dextrose </w:t>
            </w:r>
          </w:p>
        </w:tc>
        <w:tc>
          <w:tcPr>
            <w:tcW w:w="491" w:type="pct"/>
          </w:tcPr>
          <w:p w:rsidR="00076F3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Hypoglycaemia or supportive therapy </w:t>
            </w: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5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Cows 0.1-0.2 gm/kg/hr IV       </w:t>
            </w:r>
          </w:p>
        </w:tc>
        <w:tc>
          <w:tcPr>
            <w:tcW w:w="1217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Animals with low electrolyte concentrations</w:t>
            </w:r>
          </w:p>
        </w:tc>
        <w:tc>
          <w:tcPr>
            <w:tcW w:w="641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6F3F" w:rsidRPr="00CA3BDF" w:rsidTr="00076F3F">
        <w:tc>
          <w:tcPr>
            <w:tcW w:w="629" w:type="pct"/>
            <w:shd w:val="clear" w:color="auto" w:fill="E5B8B7" w:themeFill="accent2" w:themeFillTint="66"/>
          </w:tcPr>
          <w:p w:rsidR="00076F3F" w:rsidRPr="00EA29DA" w:rsidRDefault="00076F3F" w:rsidP="00D850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A29DA">
              <w:rPr>
                <w:rFonts w:asciiTheme="majorHAnsi" w:hAnsiTheme="majorHAnsi"/>
                <w:b/>
                <w:sz w:val="20"/>
                <w:szCs w:val="20"/>
              </w:rPr>
              <w:t>beta-2-adrenergic agonist</w:t>
            </w:r>
          </w:p>
        </w:tc>
        <w:tc>
          <w:tcPr>
            <w:tcW w:w="578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Ventipulmin</w:t>
            </w:r>
            <w:proofErr w:type="spellEnd"/>
          </w:p>
        </w:tc>
        <w:tc>
          <w:tcPr>
            <w:tcW w:w="739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Clenbuterol</w:t>
            </w:r>
            <w:proofErr w:type="spellEnd"/>
          </w:p>
        </w:tc>
        <w:tc>
          <w:tcPr>
            <w:tcW w:w="491" w:type="pct"/>
          </w:tcPr>
          <w:p w:rsidR="00076F3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</w:t>
            </w:r>
            <w:r w:rsidRPr="00CA3BDF">
              <w:rPr>
                <w:rFonts w:asciiTheme="majorHAnsi" w:hAnsiTheme="majorHAnsi"/>
                <w:sz w:val="20"/>
                <w:szCs w:val="20"/>
              </w:rPr>
              <w:t xml:space="preserve">orses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are </w:t>
            </w:r>
            <w:r w:rsidRPr="00CA3BDF">
              <w:rPr>
                <w:rFonts w:asciiTheme="majorHAnsi" w:hAnsiTheme="majorHAnsi"/>
                <w:sz w:val="20"/>
                <w:szCs w:val="20"/>
              </w:rPr>
              <w:t>affected with airway obstruction, such as chronic obstructive pulmonary disease (COPD)</w:t>
            </w: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5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0.5 mL/100 lbs of body weight</w:t>
            </w:r>
          </w:p>
        </w:tc>
        <w:tc>
          <w:tcPr>
            <w:tcW w:w="1217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Should not be u</w:t>
            </w:r>
            <w:r>
              <w:rPr>
                <w:rFonts w:asciiTheme="majorHAnsi" w:hAnsiTheme="majorHAnsi"/>
                <w:sz w:val="20"/>
                <w:szCs w:val="20"/>
              </w:rPr>
              <w:t>sed in pregnant mares.</w:t>
            </w:r>
          </w:p>
        </w:tc>
        <w:tc>
          <w:tcPr>
            <w:tcW w:w="641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076F3F" w:rsidRPr="00CA3BDF" w:rsidTr="00076F3F">
        <w:tc>
          <w:tcPr>
            <w:tcW w:w="629" w:type="pct"/>
            <w:shd w:val="clear" w:color="auto" w:fill="E5B8B7" w:themeFill="accent2" w:themeFillTint="66"/>
          </w:tcPr>
          <w:p w:rsidR="00076F3F" w:rsidRPr="00EA29DA" w:rsidRDefault="00076F3F" w:rsidP="00D850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Neurological</w:t>
            </w:r>
          </w:p>
        </w:tc>
        <w:tc>
          <w:tcPr>
            <w:tcW w:w="578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NEUROMAX 1,5%</w:t>
            </w:r>
          </w:p>
        </w:tc>
        <w:tc>
          <w:tcPr>
            <w:tcW w:w="739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Ammonium chloride.</w:t>
            </w:r>
          </w:p>
        </w:tc>
        <w:tc>
          <w:tcPr>
            <w:tcW w:w="491" w:type="pct"/>
          </w:tcPr>
          <w:p w:rsidR="00076F3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Reversible block of nerve 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fibers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. Neuralgia, myalgia. Myositis, muscular contracture. Articular degenerative </w:t>
            </w: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disease. </w:t>
            </w:r>
          </w:p>
        </w:tc>
        <w:tc>
          <w:tcPr>
            <w:tcW w:w="705" w:type="pct"/>
          </w:tcPr>
          <w:p w:rsidR="00076F3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Dosage depends on the area to be treated. 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Perineural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 application. Digital nerves 2 to 4 ml. Palmar nerves 3 to 5 ml. Superficial peroneal nerve 3 ml. Deep peroneal nerve 5 to 7 ml. 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Tibial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 nerve 5 to 7 ml. Dorsal Metacarpal/metatarsal 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periostitis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 and/or 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Intermetacarpal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intermetatarsal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osteitis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: 5 ml or more, according to </w:t>
            </w:r>
            <w:r w:rsidRPr="00CA3BDF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Vet prescription. </w:t>
            </w:r>
          </w:p>
          <w:p w:rsidR="00076F3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Intramuscular infiltrations: 5 ml x point of application, with a total 50 ml dose per croup, blade, or back.</w:t>
            </w:r>
          </w:p>
        </w:tc>
        <w:tc>
          <w:tcPr>
            <w:tcW w:w="1217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1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76F3F" w:rsidRPr="00CA3BDF" w:rsidTr="00076F3F">
        <w:tc>
          <w:tcPr>
            <w:tcW w:w="629" w:type="pct"/>
            <w:shd w:val="clear" w:color="auto" w:fill="E5B8B7" w:themeFill="accent2" w:themeFillTint="66"/>
          </w:tcPr>
          <w:p w:rsidR="00076F3F" w:rsidRPr="00EA29DA" w:rsidRDefault="00076F3F" w:rsidP="00D850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A29D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Diuretic</w:t>
            </w:r>
          </w:p>
        </w:tc>
        <w:tc>
          <w:tcPr>
            <w:tcW w:w="578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Urolix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Diuretico</w:t>
            </w:r>
            <w:proofErr w:type="spellEnd"/>
          </w:p>
        </w:tc>
        <w:tc>
          <w:tcPr>
            <w:tcW w:w="739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Antranilic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sulfamoyl</w:t>
            </w:r>
            <w:proofErr w:type="spellEnd"/>
          </w:p>
        </w:tc>
        <w:tc>
          <w:tcPr>
            <w:tcW w:w="491" w:type="pct"/>
          </w:tcPr>
          <w:p w:rsidR="00076F3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reduces oedemas caused by renal, hepatic and cardiac affections or burns</w:t>
            </w: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5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Bovine: 1.5 mg per kg of body weight), twice a day in a period of 6 to 8 hours.</w:t>
            </w:r>
          </w:p>
        </w:tc>
        <w:tc>
          <w:tcPr>
            <w:tcW w:w="1217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Do not administer to dehydrated animals.</w:t>
            </w:r>
          </w:p>
        </w:tc>
        <w:tc>
          <w:tcPr>
            <w:tcW w:w="641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proofErr w:type="gramStart"/>
            <w:r w:rsidRPr="00CA3BDF">
              <w:rPr>
                <w:rFonts w:asciiTheme="majorHAnsi" w:hAnsiTheme="majorHAnsi"/>
                <w:sz w:val="20"/>
                <w:szCs w:val="20"/>
              </w:rPr>
              <w:t>days</w:t>
            </w:r>
            <w:proofErr w:type="gram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 meat;</w:t>
            </w: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2 days milk</w:t>
            </w:r>
          </w:p>
        </w:tc>
      </w:tr>
      <w:tr w:rsidR="00076F3F" w:rsidRPr="00CA3BDF" w:rsidTr="00076F3F">
        <w:tc>
          <w:tcPr>
            <w:tcW w:w="629" w:type="pct"/>
            <w:shd w:val="clear" w:color="auto" w:fill="E5B8B7" w:themeFill="accent2" w:themeFillTint="66"/>
          </w:tcPr>
          <w:p w:rsidR="00076F3F" w:rsidRPr="00EA29DA" w:rsidRDefault="00076F3F" w:rsidP="00D850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A29DA">
              <w:rPr>
                <w:rFonts w:asciiTheme="majorHAnsi" w:hAnsiTheme="majorHAnsi"/>
                <w:b/>
                <w:sz w:val="20"/>
                <w:szCs w:val="20"/>
              </w:rPr>
              <w:t>Anti-toxin</w:t>
            </w:r>
          </w:p>
        </w:tc>
        <w:tc>
          <w:tcPr>
            <w:tcW w:w="578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Tetanus Antitoxin</w:t>
            </w:r>
          </w:p>
        </w:tc>
        <w:tc>
          <w:tcPr>
            <w:tcW w:w="739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Tetanus toxoid</w:t>
            </w:r>
          </w:p>
        </w:tc>
        <w:tc>
          <w:tcPr>
            <w:tcW w:w="491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prevention and treatment of tetanus in animals</w:t>
            </w:r>
          </w:p>
        </w:tc>
        <w:tc>
          <w:tcPr>
            <w:tcW w:w="705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1500 u</w:t>
            </w:r>
            <w:r>
              <w:rPr>
                <w:rFonts w:asciiTheme="majorHAnsi" w:hAnsiTheme="majorHAnsi"/>
                <w:sz w:val="20"/>
                <w:szCs w:val="20"/>
              </w:rPr>
              <w:t>nits administered SC or IM</w:t>
            </w:r>
            <w:r w:rsidRPr="00CA3BDF">
              <w:rPr>
                <w:rFonts w:asciiTheme="majorHAnsi" w:hAnsiTheme="majorHAnsi"/>
                <w:sz w:val="20"/>
                <w:szCs w:val="20"/>
              </w:rPr>
              <w:t xml:space="preserve"> for prevention.</w:t>
            </w: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 xml:space="preserve">For treatment; administer 10,000 to 50,000 units to horses and cattle, 3,000 to </w:t>
            </w:r>
            <w:r>
              <w:rPr>
                <w:rFonts w:asciiTheme="majorHAnsi" w:hAnsiTheme="majorHAnsi"/>
                <w:sz w:val="20"/>
                <w:szCs w:val="20"/>
              </w:rPr>
              <w:t>15,000 units to sheep and swine</w:t>
            </w:r>
          </w:p>
        </w:tc>
        <w:tc>
          <w:tcPr>
            <w:tcW w:w="1217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A3BDF">
              <w:rPr>
                <w:rFonts w:asciiTheme="majorHAnsi" w:hAnsiTheme="majorHAnsi"/>
                <w:sz w:val="20"/>
                <w:szCs w:val="20"/>
              </w:rPr>
              <w:t>Anaphylactoid</w:t>
            </w:r>
            <w:proofErr w:type="spellEnd"/>
            <w:r w:rsidRPr="00CA3BDF">
              <w:rPr>
                <w:rFonts w:asciiTheme="majorHAnsi" w:hAnsiTheme="majorHAnsi"/>
                <w:sz w:val="20"/>
                <w:szCs w:val="20"/>
              </w:rPr>
              <w:t xml:space="preserve"> reaction ma</w:t>
            </w:r>
            <w:r>
              <w:rPr>
                <w:rFonts w:asciiTheme="majorHAnsi" w:hAnsiTheme="majorHAnsi"/>
                <w:sz w:val="20"/>
                <w:szCs w:val="20"/>
              </w:rPr>
              <w:t>y occur following administration seen</w:t>
            </w:r>
            <w:r w:rsidRPr="00CA3BDF">
              <w:rPr>
                <w:rFonts w:asciiTheme="majorHAnsi" w:hAnsiTheme="majorHAnsi"/>
                <w:sz w:val="20"/>
                <w:szCs w:val="20"/>
              </w:rPr>
              <w:t xml:space="preserve"> in horses.</w:t>
            </w:r>
          </w:p>
        </w:tc>
        <w:tc>
          <w:tcPr>
            <w:tcW w:w="641" w:type="pct"/>
          </w:tcPr>
          <w:p w:rsidR="00076F3F" w:rsidRPr="00CA3BDF" w:rsidRDefault="00076F3F" w:rsidP="00D85005">
            <w:pPr>
              <w:rPr>
                <w:rFonts w:asciiTheme="majorHAnsi" w:hAnsiTheme="majorHAnsi"/>
                <w:sz w:val="20"/>
                <w:szCs w:val="20"/>
              </w:rPr>
            </w:pPr>
            <w:r w:rsidRPr="00CA3BDF">
              <w:rPr>
                <w:rFonts w:asciiTheme="majorHAnsi" w:hAnsiTheme="majorHAnsi"/>
                <w:sz w:val="20"/>
                <w:szCs w:val="20"/>
              </w:rPr>
              <w:t>Do not vaccinate within 21 days before slaughter</w:t>
            </w:r>
          </w:p>
        </w:tc>
      </w:tr>
    </w:tbl>
    <w:p w:rsidR="004805D9" w:rsidRDefault="004805D9"/>
    <w:sectPr w:rsidR="00480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3F"/>
    <w:rsid w:val="00076F3F"/>
    <w:rsid w:val="004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EB160-7AEB-4222-9393-298288C3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>Hewlett-Packard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2017-09-11T06:10:00Z</dcterms:created>
  <dcterms:modified xsi:type="dcterms:W3CDTF">2017-09-11T06:11:00Z</dcterms:modified>
</cp:coreProperties>
</file>