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Green-Bacteria-Wallpaper" recolor="t" type="frame"/>
    </v:background>
  </w:background>
  <w:body>
    <w:tbl>
      <w:tblPr>
        <w:tblStyle w:val="GridTable5Dark"/>
        <w:tblW w:w="9351" w:type="dxa"/>
        <w:tblLayout w:type="fixed"/>
        <w:tblLook w:val="04A0" w:firstRow="1" w:lastRow="0" w:firstColumn="1" w:lastColumn="0" w:noHBand="0" w:noVBand="1"/>
      </w:tblPr>
      <w:tblGrid>
        <w:gridCol w:w="1920"/>
        <w:gridCol w:w="27"/>
        <w:gridCol w:w="2800"/>
        <w:gridCol w:w="23"/>
        <w:gridCol w:w="2313"/>
        <w:gridCol w:w="2268"/>
      </w:tblGrid>
      <w:tr w:rsidR="00A92D19" w:rsidRPr="00264A3A" w:rsidTr="00BA4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:rsidR="00A92D19" w:rsidRPr="00264A3A" w:rsidRDefault="00A92D19" w:rsidP="00A92D19">
            <w:pPr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t xml:space="preserve">Drug </w:t>
            </w:r>
          </w:p>
        </w:tc>
        <w:tc>
          <w:tcPr>
            <w:tcW w:w="2850" w:type="dxa"/>
            <w:gridSpan w:val="3"/>
          </w:tcPr>
          <w:p w:rsidR="00A92D19" w:rsidRPr="00264A3A" w:rsidRDefault="00A92D19" w:rsidP="00A92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t xml:space="preserve">Use </w:t>
            </w:r>
          </w:p>
        </w:tc>
        <w:tc>
          <w:tcPr>
            <w:tcW w:w="2313" w:type="dxa"/>
          </w:tcPr>
          <w:p w:rsidR="00A92D19" w:rsidRPr="00264A3A" w:rsidRDefault="00A92D19" w:rsidP="00A92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t xml:space="preserve">Classification </w:t>
            </w:r>
          </w:p>
        </w:tc>
        <w:tc>
          <w:tcPr>
            <w:tcW w:w="2268" w:type="dxa"/>
          </w:tcPr>
          <w:p w:rsidR="00A92D19" w:rsidRPr="00264A3A" w:rsidRDefault="00A92D19" w:rsidP="00A92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t xml:space="preserve">Contraindications </w:t>
            </w:r>
          </w:p>
        </w:tc>
      </w:tr>
      <w:tr w:rsidR="00BA424B" w:rsidRPr="00264A3A" w:rsidTr="00BA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t>Gentamycin 100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Treatment of infectious diseases, cause</w:t>
            </w:r>
            <w:bookmarkStart w:id="0" w:name="_GoBack"/>
            <w:bookmarkEnd w:id="0"/>
            <w:r w:rsidRPr="00264A3A">
              <w:rPr>
                <w:rFonts w:ascii="Cambria" w:hAnsi="Cambria"/>
              </w:rPr>
              <w:t xml:space="preserve">d by Gram-positive and Gram-negative bacteria such as respiratory tract infections, gastro- intestinal infections, </w:t>
            </w:r>
            <w:proofErr w:type="spellStart"/>
            <w:r w:rsidRPr="00264A3A">
              <w:rPr>
                <w:rFonts w:ascii="Cambria" w:hAnsi="Cambria"/>
              </w:rPr>
              <w:t>uro</w:t>
            </w:r>
            <w:proofErr w:type="spellEnd"/>
            <w:r w:rsidRPr="00264A3A">
              <w:rPr>
                <w:rFonts w:ascii="Cambria" w:hAnsi="Cambria"/>
              </w:rPr>
              <w:t>-genital tract infections, skin and wound infections, septicemia, and arthritis.</w:t>
            </w:r>
          </w:p>
        </w:tc>
        <w:tc>
          <w:tcPr>
            <w:tcW w:w="2336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Broad-spectrum aminoglycoside antibiotic</w:t>
            </w:r>
          </w:p>
        </w:tc>
        <w:tc>
          <w:tcPr>
            <w:tcW w:w="2268" w:type="dxa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64A3A">
              <w:rPr>
                <w:rFonts w:ascii="Cambria" w:hAnsi="Cambria"/>
              </w:rPr>
              <w:t>Do not use in known cases of renal impairment.</w:t>
            </w:r>
          </w:p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64A3A">
              <w:rPr>
                <w:rFonts w:ascii="Cambria" w:hAnsi="Cambria"/>
              </w:rPr>
              <w:t>Do not use in known cases of sensitivity to gentamicin.</w:t>
            </w:r>
          </w:p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64A3A">
              <w:rPr>
                <w:rFonts w:ascii="Cambria" w:hAnsi="Cambria"/>
              </w:rPr>
              <w:t>Do not use in pregnant animals.</w:t>
            </w:r>
          </w:p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Use in </w:t>
            </w:r>
            <w:proofErr w:type="spellStart"/>
            <w:r w:rsidRPr="00264A3A">
              <w:rPr>
                <w:rFonts w:ascii="Cambria" w:hAnsi="Cambria"/>
              </w:rPr>
              <w:t>anaesthetised</w:t>
            </w:r>
            <w:proofErr w:type="spellEnd"/>
            <w:r w:rsidRPr="00264A3A">
              <w:rPr>
                <w:rFonts w:ascii="Cambria" w:hAnsi="Cambria"/>
              </w:rPr>
              <w:t xml:space="preserve"> animals is contra-indicated</w:t>
            </w:r>
          </w:p>
        </w:tc>
      </w:tr>
      <w:tr w:rsidR="00A92D19" w:rsidRPr="00264A3A" w:rsidTr="00BA424B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t xml:space="preserve">Amoxicillin 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64A3A">
              <w:rPr>
                <w:rFonts w:ascii="Cambria" w:hAnsi="Cambria"/>
              </w:rPr>
              <w:t>Wide range of infections in various species.</w:t>
            </w:r>
          </w:p>
        </w:tc>
        <w:tc>
          <w:tcPr>
            <w:tcW w:w="2336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Penicillin antibiotic</w:t>
            </w:r>
          </w:p>
        </w:tc>
        <w:tc>
          <w:tcPr>
            <w:tcW w:w="2268" w:type="dxa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Patients who have experienced a serious hypersensitivity reaction</w:t>
            </w:r>
          </w:p>
        </w:tc>
      </w:tr>
      <w:tr w:rsidR="00BA424B" w:rsidRPr="00264A3A" w:rsidTr="00BA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264A3A">
              <w:rPr>
                <w:rFonts w:ascii="Cambria" w:hAnsi="Cambria"/>
                <w:lang w:val="en-TT"/>
              </w:rPr>
              <w:t>Cefokel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 50mg/ml suspension for injection 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64A3A">
              <w:rPr>
                <w:rFonts w:ascii="Cambria" w:hAnsi="Cambria"/>
              </w:rPr>
              <w:t xml:space="preserve">In pigs it’s used for the treatment of bacterial respiratory disease associated with </w:t>
            </w:r>
            <w:proofErr w:type="spellStart"/>
            <w:r w:rsidRPr="00264A3A">
              <w:rPr>
                <w:rFonts w:ascii="Cambria" w:hAnsi="Cambria"/>
                <w:i/>
              </w:rPr>
              <w:t>Pasteurella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</w:rPr>
              <w:t>multocida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, </w:t>
            </w:r>
            <w:proofErr w:type="spellStart"/>
            <w:r w:rsidRPr="00264A3A">
              <w:rPr>
                <w:rFonts w:ascii="Cambria" w:hAnsi="Cambria"/>
                <w:i/>
              </w:rPr>
              <w:t>Actinobacillus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</w:rPr>
              <w:t>pleuropneumoniae</w:t>
            </w:r>
            <w:proofErr w:type="spellEnd"/>
            <w:r w:rsidRPr="00264A3A">
              <w:rPr>
                <w:rFonts w:ascii="Cambria" w:hAnsi="Cambria"/>
              </w:rPr>
              <w:t xml:space="preserve"> and </w:t>
            </w:r>
            <w:r w:rsidRPr="00264A3A">
              <w:rPr>
                <w:rFonts w:ascii="Cambria" w:hAnsi="Cambria"/>
                <w:i/>
              </w:rPr>
              <w:t xml:space="preserve">Streptococcus </w:t>
            </w:r>
            <w:proofErr w:type="spellStart"/>
            <w:r w:rsidRPr="00264A3A">
              <w:rPr>
                <w:rFonts w:ascii="Cambria" w:hAnsi="Cambria"/>
                <w:i/>
              </w:rPr>
              <w:t>suis</w:t>
            </w:r>
            <w:proofErr w:type="spellEnd"/>
            <w:r w:rsidRPr="00264A3A">
              <w:rPr>
                <w:rFonts w:ascii="Cambria" w:hAnsi="Cambria"/>
                <w:i/>
              </w:rPr>
              <w:t>.</w:t>
            </w:r>
            <w:r w:rsidRPr="00264A3A">
              <w:rPr>
                <w:rFonts w:ascii="Cambria" w:hAnsi="Cambria"/>
              </w:rPr>
              <w:t xml:space="preserve"> </w:t>
            </w:r>
          </w:p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In cattle: For the treatment of bacterial respiratory disease associated with </w:t>
            </w:r>
            <w:proofErr w:type="spellStart"/>
            <w:r w:rsidRPr="00264A3A">
              <w:rPr>
                <w:rFonts w:ascii="Cambria" w:hAnsi="Cambria"/>
                <w:i/>
              </w:rPr>
              <w:t>Mannheimia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</w:rPr>
              <w:t>haemolytica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, </w:t>
            </w:r>
            <w:proofErr w:type="spellStart"/>
            <w:r w:rsidRPr="00264A3A">
              <w:rPr>
                <w:rFonts w:ascii="Cambria" w:hAnsi="Cambria"/>
                <w:i/>
              </w:rPr>
              <w:t>Pasteurella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</w:rPr>
              <w:t>multocida</w:t>
            </w:r>
            <w:proofErr w:type="spellEnd"/>
            <w:r w:rsidRPr="00264A3A">
              <w:rPr>
                <w:rFonts w:ascii="Cambria" w:hAnsi="Cambria"/>
              </w:rPr>
              <w:t xml:space="preserve"> and </w:t>
            </w:r>
            <w:proofErr w:type="spellStart"/>
            <w:r w:rsidRPr="00264A3A">
              <w:rPr>
                <w:rFonts w:ascii="Cambria" w:hAnsi="Cambria"/>
                <w:i/>
              </w:rPr>
              <w:t>Histophilus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</w:rPr>
              <w:t>somni</w:t>
            </w:r>
            <w:proofErr w:type="spellEnd"/>
            <w:r w:rsidRPr="00264A3A">
              <w:rPr>
                <w:rFonts w:ascii="Cambria" w:hAnsi="Cambria"/>
                <w:i/>
              </w:rPr>
              <w:t>.</w:t>
            </w:r>
            <w:r w:rsidRPr="00264A3A">
              <w:rPr>
                <w:rFonts w:ascii="Cambria" w:hAnsi="Cambria"/>
              </w:rPr>
              <w:t xml:space="preserve"> For the treatment of acute </w:t>
            </w:r>
            <w:proofErr w:type="spellStart"/>
            <w:r w:rsidRPr="00264A3A">
              <w:rPr>
                <w:rFonts w:ascii="Cambria" w:hAnsi="Cambria"/>
              </w:rPr>
              <w:t>interdigital</w:t>
            </w:r>
            <w:proofErr w:type="spellEnd"/>
            <w:r w:rsidRPr="00264A3A">
              <w:rPr>
                <w:rFonts w:ascii="Cambria" w:hAnsi="Cambria"/>
              </w:rPr>
              <w:t xml:space="preserve"> </w:t>
            </w:r>
            <w:proofErr w:type="spellStart"/>
            <w:r w:rsidRPr="00264A3A">
              <w:rPr>
                <w:rFonts w:ascii="Cambria" w:hAnsi="Cambria"/>
              </w:rPr>
              <w:t>necrobacillosis</w:t>
            </w:r>
            <w:proofErr w:type="spellEnd"/>
            <w:r w:rsidRPr="00264A3A">
              <w:rPr>
                <w:rFonts w:ascii="Cambria" w:hAnsi="Cambria"/>
              </w:rPr>
              <w:t xml:space="preserve"> associated with </w:t>
            </w:r>
            <w:proofErr w:type="spellStart"/>
            <w:r w:rsidRPr="00264A3A">
              <w:rPr>
                <w:rFonts w:ascii="Cambria" w:hAnsi="Cambria"/>
                <w:i/>
              </w:rPr>
              <w:t>Fusobacterium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</w:rPr>
              <w:t>necrophorum</w:t>
            </w:r>
            <w:proofErr w:type="spellEnd"/>
            <w:r w:rsidRPr="00264A3A">
              <w:rPr>
                <w:rFonts w:ascii="Cambria" w:hAnsi="Cambria"/>
              </w:rPr>
              <w:t xml:space="preserve">. For treatment of the bacterial component of acute post-partum </w:t>
            </w:r>
            <w:proofErr w:type="spellStart"/>
            <w:r w:rsidRPr="00264A3A">
              <w:rPr>
                <w:rFonts w:ascii="Cambria" w:hAnsi="Cambria"/>
              </w:rPr>
              <w:t>metritis</w:t>
            </w:r>
            <w:proofErr w:type="spellEnd"/>
            <w:r w:rsidRPr="00264A3A">
              <w:rPr>
                <w:rFonts w:ascii="Cambria" w:hAnsi="Cambria"/>
              </w:rPr>
              <w:t xml:space="preserve"> within 10 days after calving associated with </w:t>
            </w:r>
            <w:r w:rsidRPr="00264A3A">
              <w:rPr>
                <w:rFonts w:ascii="Cambria" w:hAnsi="Cambria"/>
                <w:i/>
              </w:rPr>
              <w:t xml:space="preserve">Escherichia coli, </w:t>
            </w:r>
            <w:proofErr w:type="spellStart"/>
            <w:r w:rsidRPr="00264A3A">
              <w:rPr>
                <w:rFonts w:ascii="Cambria" w:hAnsi="Cambria"/>
                <w:i/>
              </w:rPr>
              <w:t>Arcanobacterium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</w:rPr>
              <w:t>pyogenes</w:t>
            </w:r>
            <w:proofErr w:type="spellEnd"/>
            <w:r w:rsidRPr="00264A3A">
              <w:rPr>
                <w:rFonts w:ascii="Cambria" w:hAnsi="Cambria"/>
              </w:rPr>
              <w:t xml:space="preserve"> and </w:t>
            </w:r>
            <w:proofErr w:type="spellStart"/>
            <w:r w:rsidRPr="00264A3A">
              <w:rPr>
                <w:rFonts w:ascii="Cambria" w:hAnsi="Cambria"/>
                <w:i/>
              </w:rPr>
              <w:lastRenderedPageBreak/>
              <w:t>Fusobacterium</w:t>
            </w:r>
            <w:proofErr w:type="spellEnd"/>
            <w:r w:rsidRPr="00264A3A">
              <w:rPr>
                <w:rFonts w:ascii="Cambria" w:hAnsi="Cambria"/>
                <w:i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</w:rPr>
              <w:t>necrophorum</w:t>
            </w:r>
            <w:proofErr w:type="spellEnd"/>
            <w:r w:rsidRPr="00264A3A">
              <w:rPr>
                <w:rFonts w:ascii="Cambria" w:hAnsi="Cambria"/>
              </w:rPr>
              <w:t>,</w:t>
            </w:r>
          </w:p>
        </w:tc>
        <w:tc>
          <w:tcPr>
            <w:tcW w:w="2336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lastRenderedPageBreak/>
              <w:t xml:space="preserve">Antibiotic </w:t>
            </w:r>
          </w:p>
        </w:tc>
        <w:tc>
          <w:tcPr>
            <w:tcW w:w="2268" w:type="dxa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Do not administer to an animal previously found to be hypersensitive to </w:t>
            </w:r>
            <w:proofErr w:type="spellStart"/>
            <w:r w:rsidRPr="00264A3A">
              <w:rPr>
                <w:rFonts w:ascii="Cambria" w:hAnsi="Cambria"/>
              </w:rPr>
              <w:t>ceftiofur</w:t>
            </w:r>
            <w:proofErr w:type="spellEnd"/>
            <w:r w:rsidRPr="00264A3A">
              <w:rPr>
                <w:rFonts w:ascii="Cambria" w:hAnsi="Cambria"/>
              </w:rPr>
              <w:t xml:space="preserve"> and other β -lactam antibiotics. Do not inject intravenously. Do not use in cases where resistance to other </w:t>
            </w:r>
            <w:proofErr w:type="spellStart"/>
            <w:r w:rsidRPr="00264A3A">
              <w:rPr>
                <w:rFonts w:ascii="Cambria" w:hAnsi="Cambria"/>
              </w:rPr>
              <w:t>cephalosporins</w:t>
            </w:r>
            <w:proofErr w:type="spellEnd"/>
            <w:r w:rsidRPr="00264A3A">
              <w:rPr>
                <w:rFonts w:ascii="Cambria" w:hAnsi="Cambria"/>
              </w:rPr>
              <w:t xml:space="preserve"> or beta-lactam antibiotics has occurred.</w:t>
            </w:r>
          </w:p>
        </w:tc>
      </w:tr>
      <w:tr w:rsidR="00A92D19" w:rsidRPr="00264A3A" w:rsidTr="00BA424B">
        <w:trPr>
          <w:trHeight w:val="2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264A3A">
              <w:rPr>
                <w:rFonts w:ascii="Cambria" w:hAnsi="Cambria"/>
                <w:lang w:val="en-TT"/>
              </w:rPr>
              <w:lastRenderedPageBreak/>
              <w:t>Combikel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 40 L.A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Bactericidal action against most commonly occurring Gram-positive </w:t>
            </w:r>
            <w:proofErr w:type="spellStart"/>
            <w:r w:rsidRPr="00264A3A">
              <w:rPr>
                <w:rFonts w:ascii="Cambria" w:hAnsi="Cambria"/>
              </w:rPr>
              <w:t>cocci</w:t>
            </w:r>
            <w:proofErr w:type="spellEnd"/>
            <w:r w:rsidRPr="00264A3A">
              <w:rPr>
                <w:rFonts w:ascii="Cambria" w:hAnsi="Cambria"/>
              </w:rPr>
              <w:t xml:space="preserve">, bacilli and anaerobes, and also against some Gram-negative species such as </w:t>
            </w:r>
            <w:proofErr w:type="spellStart"/>
            <w:r w:rsidRPr="00264A3A">
              <w:rPr>
                <w:rFonts w:ascii="Cambria" w:hAnsi="Cambria"/>
              </w:rPr>
              <w:t>Actinobacillus</w:t>
            </w:r>
            <w:proofErr w:type="spellEnd"/>
            <w:r w:rsidRPr="00264A3A">
              <w:rPr>
                <w:rFonts w:ascii="Cambria" w:hAnsi="Cambria"/>
              </w:rPr>
              <w:t>. Also used in postoperative prevention of infections</w:t>
            </w:r>
          </w:p>
        </w:tc>
        <w:tc>
          <w:tcPr>
            <w:tcW w:w="2336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t>Antibacterial</w:t>
            </w:r>
          </w:p>
        </w:tc>
        <w:tc>
          <w:tcPr>
            <w:tcW w:w="2268" w:type="dxa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Do not administer to an animal previously found to be hypersensitive</w:t>
            </w:r>
          </w:p>
        </w:tc>
      </w:tr>
      <w:tr w:rsidR="00BA424B" w:rsidRPr="00264A3A" w:rsidTr="00BA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264A3A">
              <w:rPr>
                <w:rFonts w:ascii="Cambria" w:hAnsi="Cambria"/>
                <w:lang w:val="en-TT"/>
              </w:rPr>
              <w:t>Combikel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 20/20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Infections caused by penicillin G and susceptible microorganisms such as in respiratory tract infections, strangles in horses, mastitis, meningitis (caused. by streptococci) and erysipelas in pigs, </w:t>
            </w:r>
          </w:p>
        </w:tc>
        <w:tc>
          <w:tcPr>
            <w:tcW w:w="2336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Penicillin, cephalosporin and </w:t>
            </w:r>
            <w:proofErr w:type="spellStart"/>
            <w:r w:rsidRPr="00264A3A">
              <w:rPr>
                <w:rFonts w:ascii="Cambria" w:hAnsi="Cambria"/>
              </w:rPr>
              <w:t>dihydrostreptomycin</w:t>
            </w:r>
            <w:proofErr w:type="spellEnd"/>
          </w:p>
        </w:tc>
        <w:tc>
          <w:tcPr>
            <w:tcW w:w="2268" w:type="dxa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Do not administer to animals known to be hypersensitive to one of the components</w:t>
            </w:r>
            <w:r w:rsidRPr="00264A3A">
              <w:rPr>
                <w:rFonts w:ascii="Cambria" w:hAnsi="Cambria"/>
              </w:rPr>
              <w:br/>
            </w:r>
            <w:r w:rsidRPr="00264A3A">
              <w:rPr>
                <w:rFonts w:ascii="Cambria" w:hAnsi="Cambria"/>
              </w:rPr>
              <w:br/>
              <w:t>Renal insufficiency</w:t>
            </w:r>
            <w:r w:rsidRPr="00264A3A">
              <w:rPr>
                <w:rFonts w:ascii="Cambria" w:hAnsi="Cambria"/>
              </w:rPr>
              <w:br/>
            </w:r>
            <w:r w:rsidRPr="00264A3A">
              <w:rPr>
                <w:rFonts w:ascii="Cambria" w:hAnsi="Cambria"/>
              </w:rPr>
              <w:br/>
              <w:t>Do not use intravenously</w:t>
            </w:r>
          </w:p>
        </w:tc>
      </w:tr>
      <w:tr w:rsidR="00A92D19" w:rsidRPr="00264A3A" w:rsidTr="00BA424B">
        <w:trPr>
          <w:trHeight w:val="3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264A3A">
              <w:rPr>
                <w:rFonts w:ascii="Cambria" w:hAnsi="Cambria"/>
                <w:lang w:val="en-TT"/>
              </w:rPr>
              <w:t>Trisul-kel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 240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Used to treat infections of the urinary tract, such as cystitis, upper and lower respiratory tract, such as </w:t>
            </w:r>
            <w:proofErr w:type="spellStart"/>
            <w:r w:rsidRPr="00264A3A">
              <w:rPr>
                <w:rFonts w:ascii="Cambria" w:hAnsi="Cambria"/>
              </w:rPr>
              <w:t>bronchits</w:t>
            </w:r>
            <w:proofErr w:type="spellEnd"/>
            <w:r w:rsidRPr="00264A3A">
              <w:rPr>
                <w:rFonts w:ascii="Cambria" w:hAnsi="Cambria"/>
              </w:rPr>
              <w:t xml:space="preserve">, genital tract infections such as </w:t>
            </w:r>
            <w:proofErr w:type="spellStart"/>
            <w:r w:rsidRPr="00264A3A">
              <w:rPr>
                <w:rFonts w:ascii="Cambria" w:hAnsi="Cambria"/>
              </w:rPr>
              <w:t>gonorrhoea</w:t>
            </w:r>
            <w:proofErr w:type="spellEnd"/>
            <w:r w:rsidRPr="00264A3A">
              <w:rPr>
                <w:rFonts w:ascii="Cambria" w:hAnsi="Cambria"/>
              </w:rPr>
              <w:t xml:space="preserve">, and infections of the gastrointestinal system, such as gastroenteritis due to </w:t>
            </w:r>
            <w:proofErr w:type="spellStart"/>
            <w:r w:rsidRPr="00264A3A">
              <w:rPr>
                <w:rFonts w:ascii="Cambria" w:hAnsi="Cambria"/>
              </w:rPr>
              <w:t>E.coli</w:t>
            </w:r>
            <w:proofErr w:type="spellEnd"/>
            <w:r w:rsidRPr="00264A3A">
              <w:rPr>
                <w:rFonts w:ascii="Cambria" w:hAnsi="Cambria"/>
              </w:rPr>
              <w:t xml:space="preserve"> and shigellosis. It is also used for the treatment and prevention of </w:t>
            </w:r>
            <w:r w:rsidRPr="00264A3A">
              <w:rPr>
                <w:rFonts w:ascii="Cambria" w:hAnsi="Cambria"/>
                <w:i/>
              </w:rPr>
              <w:t>Pneumocystis</w:t>
            </w:r>
          </w:p>
        </w:tc>
        <w:tc>
          <w:tcPr>
            <w:tcW w:w="2336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Antibiotic</w:t>
            </w:r>
          </w:p>
        </w:tc>
        <w:tc>
          <w:tcPr>
            <w:tcW w:w="2268" w:type="dxa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64A3A">
              <w:rPr>
                <w:rFonts w:ascii="Cambria" w:hAnsi="Cambria"/>
              </w:rPr>
              <w:t xml:space="preserve">No use if animals are allergic to trimethoprim, </w:t>
            </w:r>
            <w:proofErr w:type="spellStart"/>
            <w:r w:rsidRPr="00264A3A">
              <w:rPr>
                <w:rFonts w:ascii="Cambria" w:hAnsi="Cambria"/>
              </w:rPr>
              <w:t>sulfamethoxazole</w:t>
            </w:r>
            <w:proofErr w:type="spellEnd"/>
            <w:r w:rsidRPr="00264A3A">
              <w:rPr>
                <w:rFonts w:ascii="Cambria" w:hAnsi="Cambria"/>
              </w:rPr>
              <w:t xml:space="preserve"> or any ingredients in </w:t>
            </w:r>
            <w:proofErr w:type="spellStart"/>
            <w:r w:rsidRPr="00264A3A">
              <w:rPr>
                <w:rFonts w:ascii="Cambria" w:hAnsi="Cambria"/>
              </w:rPr>
              <w:t>Trisul</w:t>
            </w:r>
            <w:proofErr w:type="spellEnd"/>
            <w:r w:rsidRPr="00264A3A">
              <w:rPr>
                <w:rFonts w:ascii="Cambria" w:hAnsi="Cambria"/>
              </w:rPr>
              <w:t>, are pregnant or have kidney or liver disease</w:t>
            </w:r>
          </w:p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</w:p>
        </w:tc>
      </w:tr>
      <w:tr w:rsidR="00BA424B" w:rsidRPr="00264A3A" w:rsidTr="00BA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264A3A">
              <w:rPr>
                <w:rFonts w:ascii="Cambria" w:hAnsi="Cambria"/>
                <w:lang w:val="en-TT"/>
              </w:rPr>
              <w:t>Anflox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 10% injection 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Treatment and prevention of infectious diseases caused by Gram-positive, Gram-negative bacteria and Mycoplasmas in poultry and pigs.</w:t>
            </w:r>
          </w:p>
        </w:tc>
        <w:tc>
          <w:tcPr>
            <w:tcW w:w="2336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Antibiotic</w:t>
            </w:r>
          </w:p>
        </w:tc>
        <w:tc>
          <w:tcPr>
            <w:tcW w:w="2268" w:type="dxa"/>
          </w:tcPr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Hypersensitivity to </w:t>
            </w:r>
            <w:proofErr w:type="spellStart"/>
            <w:r w:rsidRPr="00264A3A">
              <w:rPr>
                <w:rFonts w:ascii="Cambria" w:hAnsi="Cambria"/>
              </w:rPr>
              <w:t>norfloxacin</w:t>
            </w:r>
            <w:proofErr w:type="spellEnd"/>
            <w:r w:rsidRPr="00264A3A">
              <w:rPr>
                <w:rFonts w:ascii="Cambria" w:hAnsi="Cambria"/>
              </w:rPr>
              <w:t xml:space="preserve"> and other quinolone groups</w:t>
            </w:r>
          </w:p>
        </w:tc>
      </w:tr>
      <w:tr w:rsidR="00A92D19" w:rsidRPr="00264A3A" w:rsidTr="00BA4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264A3A">
              <w:rPr>
                <w:rFonts w:ascii="Cambria" w:hAnsi="Cambria"/>
                <w:lang w:val="en-TT"/>
              </w:rPr>
              <w:t>Enroflox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 8% [</w:t>
            </w:r>
            <w:proofErr w:type="spellStart"/>
            <w:r w:rsidRPr="00264A3A">
              <w:rPr>
                <w:rFonts w:ascii="Cambria" w:hAnsi="Cambria"/>
                <w:lang w:val="en-TT"/>
              </w:rPr>
              <w:t>enrofloxacin</w:t>
            </w:r>
            <w:proofErr w:type="spellEnd"/>
            <w:r w:rsidRPr="00264A3A">
              <w:rPr>
                <w:rFonts w:ascii="Cambria" w:hAnsi="Cambria"/>
                <w:lang w:val="en-TT"/>
              </w:rPr>
              <w:t>]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582F8B" w:rsidP="00582F8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lastRenderedPageBreak/>
              <w:t>In cattle used for the</w:t>
            </w:r>
            <w:r w:rsidRPr="00264A3A">
              <w:rPr>
                <w:rFonts w:ascii="Cambria" w:hAnsi="Cambria"/>
              </w:rPr>
              <w:t xml:space="preserve"> treatment of bovine respiratory disease </w:t>
            </w:r>
            <w:r w:rsidRPr="00264A3A">
              <w:rPr>
                <w:rFonts w:ascii="Cambria" w:hAnsi="Cambria"/>
              </w:rPr>
              <w:lastRenderedPageBreak/>
              <w:t>associated with 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Mannheimia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haemolytica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Pasteurella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multocida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Histophilus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somni</w:t>
            </w:r>
            <w:proofErr w:type="spellEnd"/>
            <w:r w:rsidRPr="00264A3A">
              <w:rPr>
                <w:rFonts w:ascii="Cambria" w:hAnsi="Cambria"/>
              </w:rPr>
              <w:t> and </w:t>
            </w:r>
            <w:r w:rsidRPr="00264A3A">
              <w:rPr>
                <w:rFonts w:ascii="Cambria" w:hAnsi="Cambria"/>
                <w:i/>
                <w:iCs/>
              </w:rPr>
              <w:t xml:space="preserve">Mycoplasma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bovis</w:t>
            </w:r>
            <w:proofErr w:type="spellEnd"/>
            <w:r w:rsidRPr="00264A3A">
              <w:rPr>
                <w:rFonts w:ascii="Cambria" w:hAnsi="Cambria"/>
              </w:rPr>
              <w:t>. In pigs used for the treatment and control of swine respiratory disease associated with 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Actinobacillus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pleuropneumoniae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Pasteurella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multocida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Haemophilus</w:t>
            </w:r>
            <w:proofErr w:type="spellEnd"/>
            <w:r w:rsidRPr="00264A3A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parasuis</w:t>
            </w:r>
            <w:proofErr w:type="spellEnd"/>
            <w:r w:rsidRPr="00264A3A">
              <w:rPr>
                <w:rFonts w:ascii="Cambria" w:hAnsi="Cambria"/>
              </w:rPr>
              <w:t> and </w:t>
            </w:r>
            <w:r w:rsidRPr="00264A3A">
              <w:rPr>
                <w:rFonts w:ascii="Cambria" w:hAnsi="Cambria"/>
                <w:i/>
                <w:iCs/>
              </w:rPr>
              <w:t xml:space="preserve">Streptococcus </w:t>
            </w:r>
            <w:proofErr w:type="spellStart"/>
            <w:r w:rsidRPr="00264A3A">
              <w:rPr>
                <w:rFonts w:ascii="Cambria" w:hAnsi="Cambria"/>
                <w:i/>
                <w:iCs/>
              </w:rPr>
              <w:t>suis</w:t>
            </w:r>
            <w:proofErr w:type="spellEnd"/>
            <w:r w:rsidRPr="00264A3A">
              <w:rPr>
                <w:rFonts w:ascii="Cambria" w:hAnsi="Cambria"/>
              </w:rPr>
              <w:t>.</w:t>
            </w:r>
          </w:p>
        </w:tc>
        <w:tc>
          <w:tcPr>
            <w:tcW w:w="2336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lastRenderedPageBreak/>
              <w:t xml:space="preserve">Synthetic </w:t>
            </w:r>
            <w:proofErr w:type="spellStart"/>
            <w:r w:rsidRPr="00264A3A">
              <w:rPr>
                <w:rFonts w:ascii="Cambria" w:hAnsi="Cambria"/>
                <w:lang w:val="en-TT"/>
              </w:rPr>
              <w:t>fluoroquinolone</w:t>
            </w:r>
            <w:proofErr w:type="spellEnd"/>
          </w:p>
        </w:tc>
        <w:tc>
          <w:tcPr>
            <w:tcW w:w="2268" w:type="dxa"/>
          </w:tcPr>
          <w:p w:rsidR="00A92D19" w:rsidRPr="00264A3A" w:rsidRDefault="00582F8B" w:rsidP="00582F8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bCs/>
              </w:rPr>
              <w:t xml:space="preserve">Cannot be used in female dairy cattle 20 months or older or In </w:t>
            </w:r>
            <w:r w:rsidRPr="00264A3A">
              <w:rPr>
                <w:rFonts w:ascii="Cambria" w:hAnsi="Cambria"/>
                <w:bCs/>
              </w:rPr>
              <w:lastRenderedPageBreak/>
              <w:t>calves to be processed for veal</w:t>
            </w:r>
          </w:p>
        </w:tc>
      </w:tr>
      <w:tr w:rsidR="00BA424B" w:rsidRPr="00264A3A" w:rsidTr="00BA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332E42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264A3A">
              <w:rPr>
                <w:rFonts w:ascii="Cambria" w:hAnsi="Cambria"/>
                <w:lang w:val="en-TT"/>
              </w:rPr>
              <w:lastRenderedPageBreak/>
              <w:t>Oxyt</w:t>
            </w:r>
            <w:r w:rsidR="00A92D19" w:rsidRPr="00264A3A">
              <w:rPr>
                <w:rFonts w:ascii="Cambria" w:hAnsi="Cambria"/>
                <w:lang w:val="en-TT"/>
              </w:rPr>
              <w:t>et</w:t>
            </w:r>
            <w:proofErr w:type="spellEnd"/>
            <w:r w:rsidR="00A92D19" w:rsidRPr="00264A3A">
              <w:rPr>
                <w:rFonts w:ascii="Cambria" w:hAnsi="Cambria"/>
                <w:lang w:val="en-TT"/>
              </w:rPr>
              <w:t xml:space="preserve"> LA- 19%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287B55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Used against gram-negative and gram-positive organisms that are pathogenic for cattle</w:t>
            </w:r>
          </w:p>
        </w:tc>
        <w:tc>
          <w:tcPr>
            <w:tcW w:w="2336" w:type="dxa"/>
            <w:gridSpan w:val="2"/>
          </w:tcPr>
          <w:p w:rsidR="00A92D19" w:rsidRPr="00264A3A" w:rsidRDefault="00287B55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Broad spectrum antibiotic</w:t>
            </w:r>
          </w:p>
        </w:tc>
        <w:tc>
          <w:tcPr>
            <w:tcW w:w="2268" w:type="dxa"/>
          </w:tcPr>
          <w:p w:rsidR="00A92D19" w:rsidRPr="00264A3A" w:rsidRDefault="00287B55" w:rsidP="00287B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bCs/>
              </w:rPr>
              <w:t>Cannot be used in lactating dairy cattle</w:t>
            </w:r>
          </w:p>
        </w:tc>
      </w:tr>
      <w:tr w:rsidR="00A92D19" w:rsidRPr="00264A3A" w:rsidTr="00BA4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264A3A">
              <w:rPr>
                <w:rFonts w:ascii="Cambria" w:hAnsi="Cambria"/>
                <w:lang w:val="en-TT"/>
              </w:rPr>
              <w:t>Anupco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: </w:t>
            </w:r>
            <w:proofErr w:type="spellStart"/>
            <w:r w:rsidRPr="00264A3A">
              <w:rPr>
                <w:rFonts w:ascii="Cambria" w:hAnsi="Cambria"/>
                <w:lang w:val="en-TT"/>
              </w:rPr>
              <w:t>Amoxycillin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 150 LA 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DF0766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For the treatment of infections caused by Gram-positive and Gram-negative bacteria susceptible to </w:t>
            </w:r>
            <w:proofErr w:type="spellStart"/>
            <w:r w:rsidRPr="00264A3A">
              <w:rPr>
                <w:rFonts w:ascii="Cambria" w:hAnsi="Cambria"/>
              </w:rPr>
              <w:t>amoxycillin</w:t>
            </w:r>
            <w:proofErr w:type="spellEnd"/>
          </w:p>
        </w:tc>
        <w:tc>
          <w:tcPr>
            <w:tcW w:w="2336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Penicillin antibiotic</w:t>
            </w:r>
          </w:p>
        </w:tc>
        <w:tc>
          <w:tcPr>
            <w:tcW w:w="2268" w:type="dxa"/>
          </w:tcPr>
          <w:p w:rsidR="00A92D19" w:rsidRPr="00264A3A" w:rsidRDefault="00DF0766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Do not use in animals with a history of hypersensitivity towards </w:t>
            </w:r>
            <w:proofErr w:type="spellStart"/>
            <w:r w:rsidRPr="00264A3A">
              <w:rPr>
                <w:rFonts w:ascii="Cambria" w:hAnsi="Cambria"/>
              </w:rPr>
              <w:t>penicillins</w:t>
            </w:r>
            <w:proofErr w:type="spellEnd"/>
            <w:r w:rsidRPr="00264A3A">
              <w:rPr>
                <w:rFonts w:ascii="Cambria" w:hAnsi="Cambria"/>
              </w:rPr>
              <w:t xml:space="preserve"> and </w:t>
            </w:r>
            <w:proofErr w:type="spellStart"/>
            <w:r w:rsidRPr="00264A3A">
              <w:rPr>
                <w:rFonts w:ascii="Cambria" w:hAnsi="Cambria"/>
              </w:rPr>
              <w:t>cephalosporins</w:t>
            </w:r>
            <w:proofErr w:type="spellEnd"/>
            <w:r w:rsidRPr="00264A3A">
              <w:rPr>
                <w:rFonts w:ascii="Cambria" w:hAnsi="Cambria"/>
              </w:rPr>
              <w:t>.</w:t>
            </w:r>
          </w:p>
        </w:tc>
      </w:tr>
      <w:tr w:rsidR="00BA424B" w:rsidRPr="00264A3A" w:rsidTr="00BA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264A3A">
              <w:rPr>
                <w:rFonts w:ascii="Cambria" w:hAnsi="Cambria"/>
                <w:lang w:val="en-TT"/>
              </w:rPr>
              <w:t>Anupco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: </w:t>
            </w:r>
            <w:proofErr w:type="spellStart"/>
            <w:r w:rsidRPr="00264A3A">
              <w:rPr>
                <w:rFonts w:ascii="Cambria" w:hAnsi="Cambria"/>
                <w:lang w:val="en-TT"/>
              </w:rPr>
              <w:t>Tylosin</w:t>
            </w:r>
            <w:proofErr w:type="spellEnd"/>
            <w:r w:rsidRPr="00264A3A">
              <w:rPr>
                <w:rFonts w:ascii="Cambria" w:hAnsi="Cambria"/>
                <w:lang w:val="en-TT"/>
              </w:rPr>
              <w:t xml:space="preserve"> 200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DF0766" w:rsidRPr="00264A3A" w:rsidRDefault="00DF0766" w:rsidP="00DF076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64A3A">
              <w:rPr>
                <w:rFonts w:ascii="Cambria" w:hAnsi="Cambria"/>
              </w:rPr>
              <w:t xml:space="preserve">Treats mycoplasma infections, respiratory tract infections, </w:t>
            </w:r>
            <w:proofErr w:type="spellStart"/>
            <w:r w:rsidRPr="00264A3A">
              <w:rPr>
                <w:rFonts w:ascii="Cambria" w:hAnsi="Cambria"/>
              </w:rPr>
              <w:t>metritis</w:t>
            </w:r>
            <w:proofErr w:type="spellEnd"/>
            <w:r w:rsidRPr="00264A3A">
              <w:rPr>
                <w:rFonts w:ascii="Cambria" w:hAnsi="Cambria"/>
              </w:rPr>
              <w:t xml:space="preserve">, </w:t>
            </w:r>
            <w:r w:rsidR="00B91EC1" w:rsidRPr="00264A3A">
              <w:rPr>
                <w:rFonts w:ascii="Cambria" w:hAnsi="Cambria"/>
              </w:rPr>
              <w:t>and foot</w:t>
            </w:r>
            <w:r w:rsidRPr="00264A3A">
              <w:rPr>
                <w:rFonts w:ascii="Cambria" w:hAnsi="Cambria"/>
              </w:rPr>
              <w:t xml:space="preserve"> rot </w:t>
            </w:r>
            <w:r w:rsidR="00484D75" w:rsidRPr="00264A3A">
              <w:rPr>
                <w:rFonts w:ascii="Cambria" w:hAnsi="Cambria"/>
              </w:rPr>
              <w:t>in cattle.</w:t>
            </w:r>
            <w:r w:rsidRPr="00264A3A">
              <w:rPr>
                <w:rFonts w:ascii="Cambria" w:hAnsi="Cambria"/>
              </w:rPr>
              <w:t xml:space="preserve"> Used in treating pig dysentery, </w:t>
            </w:r>
            <w:proofErr w:type="spellStart"/>
            <w:r w:rsidRPr="00264A3A">
              <w:rPr>
                <w:rFonts w:ascii="Cambria" w:hAnsi="Cambria"/>
              </w:rPr>
              <w:t>polyserositis</w:t>
            </w:r>
            <w:proofErr w:type="spellEnd"/>
            <w:r w:rsidRPr="00264A3A">
              <w:rPr>
                <w:rFonts w:ascii="Cambria" w:hAnsi="Cambria"/>
              </w:rPr>
              <w:t xml:space="preserve">, enzootic pneumonia, rhinitis </w:t>
            </w:r>
            <w:proofErr w:type="spellStart"/>
            <w:r w:rsidRPr="00264A3A">
              <w:rPr>
                <w:rFonts w:ascii="Cambria" w:hAnsi="Cambria"/>
              </w:rPr>
              <w:t>atrophicans</w:t>
            </w:r>
            <w:proofErr w:type="spellEnd"/>
            <w:r w:rsidRPr="00264A3A">
              <w:rPr>
                <w:rFonts w:ascii="Cambria" w:hAnsi="Cambria"/>
              </w:rPr>
              <w:t xml:space="preserve"> and exudative </w:t>
            </w:r>
            <w:proofErr w:type="spellStart"/>
            <w:r w:rsidRPr="00264A3A">
              <w:rPr>
                <w:rFonts w:ascii="Cambria" w:hAnsi="Cambria"/>
              </w:rPr>
              <w:t>epidermitis</w:t>
            </w:r>
            <w:proofErr w:type="spellEnd"/>
            <w:r w:rsidRPr="00264A3A">
              <w:rPr>
                <w:rFonts w:ascii="Cambria" w:hAnsi="Cambria"/>
              </w:rPr>
              <w:t>, arthritis and erysipelas.</w:t>
            </w:r>
            <w:r w:rsidR="00484D75" w:rsidRPr="00264A3A">
              <w:rPr>
                <w:rFonts w:ascii="Cambria" w:hAnsi="Cambria"/>
              </w:rPr>
              <w:t xml:space="preserve"> I</w:t>
            </w:r>
            <w:r w:rsidRPr="00264A3A">
              <w:rPr>
                <w:rFonts w:ascii="Cambria" w:hAnsi="Cambria"/>
              </w:rPr>
              <w:t>n horses used in treating respiratory infections, strangles.</w:t>
            </w:r>
          </w:p>
          <w:p w:rsidR="00A92D19" w:rsidRPr="00264A3A" w:rsidRDefault="00A92D19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</w:p>
        </w:tc>
        <w:tc>
          <w:tcPr>
            <w:tcW w:w="2336" w:type="dxa"/>
            <w:gridSpan w:val="2"/>
          </w:tcPr>
          <w:p w:rsidR="00A92D19" w:rsidRPr="00264A3A" w:rsidRDefault="00DF0766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Macrolide antibiotic</w:t>
            </w:r>
          </w:p>
        </w:tc>
        <w:tc>
          <w:tcPr>
            <w:tcW w:w="2268" w:type="dxa"/>
          </w:tcPr>
          <w:p w:rsidR="00A92D19" w:rsidRPr="00264A3A" w:rsidRDefault="00B91EC1" w:rsidP="00A92D1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Do not use in animals with a history of hypersensitivity</w:t>
            </w:r>
          </w:p>
        </w:tc>
      </w:tr>
      <w:tr w:rsidR="00A92D19" w:rsidRPr="00264A3A" w:rsidTr="00BA4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  <w:lang w:val="en-TT"/>
              </w:rPr>
              <w:t xml:space="preserve">Procaine Penicillin G </w:t>
            </w:r>
          </w:p>
          <w:p w:rsidR="00A92D19" w:rsidRPr="00264A3A" w:rsidRDefault="00A92D19" w:rsidP="00A92D19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A92D19" w:rsidRPr="00264A3A" w:rsidRDefault="00B91EC1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 xml:space="preserve">Used for treatment of moderately severe infections in both adults and pediatric patients due </w:t>
            </w:r>
            <w:r w:rsidRPr="00264A3A">
              <w:rPr>
                <w:rFonts w:ascii="Cambria" w:hAnsi="Cambria"/>
              </w:rPr>
              <w:lastRenderedPageBreak/>
              <w:t>to penicillin-G-susceptible microorganisms</w:t>
            </w:r>
          </w:p>
        </w:tc>
        <w:tc>
          <w:tcPr>
            <w:tcW w:w="2336" w:type="dxa"/>
            <w:gridSpan w:val="2"/>
          </w:tcPr>
          <w:p w:rsidR="00A92D19" w:rsidRPr="00264A3A" w:rsidRDefault="00B91EC1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lastRenderedPageBreak/>
              <w:t>Penicillin antibiotic</w:t>
            </w:r>
          </w:p>
        </w:tc>
        <w:tc>
          <w:tcPr>
            <w:tcW w:w="2268" w:type="dxa"/>
          </w:tcPr>
          <w:p w:rsidR="00A92D19" w:rsidRPr="00264A3A" w:rsidRDefault="00B91EC1" w:rsidP="00A92D1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64A3A">
              <w:rPr>
                <w:rFonts w:ascii="Cambria" w:hAnsi="Cambria"/>
              </w:rPr>
              <w:t>A previous hypersensitivity reaction to any penicillin is a contraindication.</w:t>
            </w:r>
          </w:p>
        </w:tc>
      </w:tr>
    </w:tbl>
    <w:p w:rsidR="006B6869" w:rsidRPr="00264A3A" w:rsidRDefault="006B6869">
      <w:pPr>
        <w:rPr>
          <w:rFonts w:ascii="Cambria" w:hAnsi="Cambria"/>
        </w:rPr>
      </w:pPr>
    </w:p>
    <w:sectPr w:rsidR="006B6869" w:rsidRPr="0026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19"/>
    <w:rsid w:val="00264A3A"/>
    <w:rsid w:val="00287B55"/>
    <w:rsid w:val="00332E42"/>
    <w:rsid w:val="00484D75"/>
    <w:rsid w:val="00582F8B"/>
    <w:rsid w:val="006B6869"/>
    <w:rsid w:val="00A92D19"/>
    <w:rsid w:val="00B91EC1"/>
    <w:rsid w:val="00BA424B"/>
    <w:rsid w:val="00D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88CC3D-3FA5-4715-8F55-BDAF27F5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3">
    <w:name w:val="Grid Table 4 Accent 3"/>
    <w:basedOn w:val="TableNormal"/>
    <w:uiPriority w:val="49"/>
    <w:rsid w:val="00264A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">
    <w:name w:val="Grid Table 5 Dark"/>
    <w:basedOn w:val="TableNormal"/>
    <w:uiPriority w:val="50"/>
    <w:rsid w:val="00BA4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BA4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BA4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43C-6108-499C-AC9A-F11EA6C8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Madray</dc:creator>
  <cp:keywords/>
  <dc:description/>
  <cp:lastModifiedBy>Celeste Madray</cp:lastModifiedBy>
  <cp:revision>9</cp:revision>
  <dcterms:created xsi:type="dcterms:W3CDTF">2017-09-09T22:50:00Z</dcterms:created>
  <dcterms:modified xsi:type="dcterms:W3CDTF">2017-09-10T00:26:00Z</dcterms:modified>
</cp:coreProperties>
</file>