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avery-tillmon-bessie_a-G-14290363-0" recolor="t" type="frame"/>
    </v:background>
  </w:background>
  <w:body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4039E" w:rsidRPr="0034039E" w:rsidTr="0017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538135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/>
            </w:tcBorders>
            <w:shd w:val="clear" w:color="auto" w:fill="EC8CA3"/>
          </w:tcPr>
          <w:p w:rsidR="0034039E" w:rsidRPr="00171204" w:rsidRDefault="0034039E" w:rsidP="0034039E">
            <w:pPr>
              <w:jc w:val="center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Reproductive Drugs</w:t>
            </w:r>
          </w:p>
        </w:tc>
      </w:tr>
      <w:tr w:rsidR="0034039E" w:rsidRPr="0034039E" w:rsidTr="0017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538135" w:themeColor="accent6" w:themeShade="BF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:rsidR="0034039E" w:rsidRPr="00171204" w:rsidRDefault="0034039E" w:rsidP="0034039E">
            <w:pPr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Drug</w:t>
            </w:r>
          </w:p>
        </w:tc>
        <w:tc>
          <w:tcPr>
            <w:tcW w:w="2337" w:type="dxa"/>
            <w:tcBorders>
              <w:top w:val="single" w:sz="4" w:space="0" w:color="538135" w:themeColor="accent6" w:themeShade="BF"/>
              <w:left w:val="single" w:sz="4" w:space="0" w:color="538135"/>
              <w:bottom w:val="single" w:sz="4" w:space="0" w:color="538135"/>
            </w:tcBorders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Use</w:t>
            </w:r>
          </w:p>
        </w:tc>
        <w:tc>
          <w:tcPr>
            <w:tcW w:w="2338" w:type="dxa"/>
            <w:tcBorders>
              <w:top w:val="single" w:sz="4" w:space="0" w:color="538135" w:themeColor="accent6" w:themeShade="BF"/>
              <w:bottom w:val="single" w:sz="4" w:space="0" w:color="538135"/>
            </w:tcBorders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Classification</w:t>
            </w:r>
          </w:p>
        </w:tc>
        <w:tc>
          <w:tcPr>
            <w:tcW w:w="2338" w:type="dxa"/>
            <w:tcBorders>
              <w:top w:val="single" w:sz="4" w:space="0" w:color="538135" w:themeColor="accent6" w:themeShade="BF"/>
              <w:bottom w:val="single" w:sz="4" w:space="0" w:color="538135"/>
              <w:right w:val="single" w:sz="4" w:space="0" w:color="538135"/>
            </w:tcBorders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Contraindications</w:t>
            </w:r>
          </w:p>
        </w:tc>
      </w:tr>
      <w:tr w:rsidR="0034039E" w:rsidRPr="0034039E" w:rsidTr="00171204">
        <w:trPr>
          <w:trHeight w:val="5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:rsidR="0034039E" w:rsidRPr="00171204" w:rsidRDefault="0034039E" w:rsidP="0034039E">
            <w:pPr>
              <w:rPr>
                <w:rFonts w:ascii="Cambria" w:hAnsi="Cambria"/>
              </w:rPr>
            </w:pPr>
            <w:proofErr w:type="spellStart"/>
            <w:r w:rsidRPr="00171204">
              <w:rPr>
                <w:rFonts w:ascii="Cambria" w:hAnsi="Cambria"/>
              </w:rPr>
              <w:t>Oxyto-Kel</w:t>
            </w:r>
            <w:proofErr w:type="spellEnd"/>
            <w:r w:rsidRPr="00171204">
              <w:rPr>
                <w:rFonts w:ascii="Cambria" w:hAnsi="Cambria"/>
              </w:rPr>
              <w:t xml:space="preserve"> 10 I.U</w:t>
            </w:r>
          </w:p>
        </w:tc>
        <w:tc>
          <w:tcPr>
            <w:tcW w:w="2337" w:type="dxa"/>
            <w:tcBorders>
              <w:top w:val="single" w:sz="4" w:space="0" w:color="538135"/>
              <w:left w:val="single" w:sz="4" w:space="0" w:color="538135"/>
            </w:tcBorders>
          </w:tcPr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 xml:space="preserve">Antepartum: </w:t>
            </w:r>
          </w:p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Induction of labor in patients with a medical history of disease problems or when membranes are prematurely ruptured. Stimulation or reinforcement of labor. Adjunctive therapy in the management of incomplete or inevitable abortion.</w:t>
            </w:r>
          </w:p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Postpartum:</w:t>
            </w:r>
          </w:p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To produce uterine contractions during the third stage of labor and to control postpartum bleeding or hemorrhage.</w:t>
            </w:r>
          </w:p>
        </w:tc>
        <w:tc>
          <w:tcPr>
            <w:tcW w:w="2338" w:type="dxa"/>
            <w:tcBorders>
              <w:top w:val="single" w:sz="4" w:space="0" w:color="538135"/>
            </w:tcBorders>
          </w:tcPr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Hormonal</w:t>
            </w:r>
          </w:p>
        </w:tc>
        <w:tc>
          <w:tcPr>
            <w:tcW w:w="2338" w:type="dxa"/>
            <w:tcBorders>
              <w:top w:val="single" w:sz="4" w:space="0" w:color="538135"/>
              <w:right w:val="single" w:sz="4" w:space="0" w:color="538135"/>
            </w:tcBorders>
          </w:tcPr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Cephalopelvic disproportion,</w:t>
            </w:r>
          </w:p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unfavorable fetal positions which makes a difficult, fetal distress, uterine inertia or severe toxemia,</w:t>
            </w:r>
          </w:p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Hypertonic uterine patterns,</w:t>
            </w:r>
          </w:p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Patients with hypersensitivity to the drug,</w:t>
            </w:r>
          </w:p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Induction or augmentation of labor in cases such as cord presentation or prolapse, total placenta previa, and vasa previa.</w:t>
            </w:r>
          </w:p>
        </w:tc>
      </w:tr>
      <w:tr w:rsidR="0034039E" w:rsidRPr="0034039E" w:rsidTr="0030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:rsidR="0034039E" w:rsidRPr="00171204" w:rsidRDefault="0034039E" w:rsidP="0034039E">
            <w:pPr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 xml:space="preserve">ECP Estradiol </w:t>
            </w:r>
            <w:proofErr w:type="spellStart"/>
            <w:r w:rsidRPr="00171204">
              <w:rPr>
                <w:rFonts w:ascii="Cambria" w:hAnsi="Cambria"/>
              </w:rPr>
              <w:t>cypionate</w:t>
            </w:r>
            <w:proofErr w:type="spellEnd"/>
            <w:r w:rsidRPr="00171204">
              <w:rPr>
                <w:rFonts w:ascii="Cambria" w:hAnsi="Cambria"/>
              </w:rPr>
              <w:t xml:space="preserve"> 2mg/ml</w:t>
            </w:r>
          </w:p>
        </w:tc>
        <w:tc>
          <w:tcPr>
            <w:tcW w:w="2337" w:type="dxa"/>
            <w:tcBorders>
              <w:left w:val="single" w:sz="4" w:space="0" w:color="538135"/>
            </w:tcBorders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Enhance</w:t>
            </w:r>
            <w:r w:rsidR="00171204">
              <w:rPr>
                <w:rFonts w:ascii="Cambria" w:hAnsi="Cambria"/>
              </w:rPr>
              <w:t>s</w:t>
            </w:r>
            <w:r w:rsidRPr="00171204">
              <w:rPr>
                <w:rFonts w:ascii="Cambria" w:hAnsi="Cambria"/>
              </w:rPr>
              <w:t xml:space="preserve"> sexual receptivity in ovariectomized or seasonally anestrous mares being used as stimulus mares in a semen collection program.</w:t>
            </w:r>
          </w:p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338" w:type="dxa"/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Hormonal</w:t>
            </w:r>
          </w:p>
        </w:tc>
        <w:tc>
          <w:tcPr>
            <w:tcW w:w="2338" w:type="dxa"/>
            <w:tcBorders>
              <w:right w:val="single" w:sz="4" w:space="0" w:color="538135"/>
            </w:tcBorders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Hypersensitivity reactions may occur.</w:t>
            </w:r>
          </w:p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Do not use in pregnant mares.</w:t>
            </w:r>
          </w:p>
        </w:tc>
      </w:tr>
      <w:tr w:rsidR="0034039E" w:rsidRPr="0034039E" w:rsidTr="00171204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538135"/>
              <w:left w:val="single" w:sz="4" w:space="0" w:color="538135" w:themeColor="accent6" w:themeShade="BF"/>
              <w:bottom w:val="single" w:sz="4" w:space="0" w:color="538135"/>
              <w:right w:val="single" w:sz="4" w:space="0" w:color="538135"/>
            </w:tcBorders>
          </w:tcPr>
          <w:p w:rsidR="0034039E" w:rsidRPr="00171204" w:rsidRDefault="0034039E" w:rsidP="0034039E">
            <w:pPr>
              <w:rPr>
                <w:rFonts w:ascii="Cambria" w:hAnsi="Cambria"/>
              </w:rPr>
            </w:pPr>
            <w:proofErr w:type="spellStart"/>
            <w:r w:rsidRPr="00171204">
              <w:rPr>
                <w:rFonts w:ascii="Cambria" w:hAnsi="Cambria"/>
              </w:rPr>
              <w:t>Lutalyse</w:t>
            </w:r>
            <w:proofErr w:type="spellEnd"/>
            <w:r w:rsidRPr="00171204">
              <w:rPr>
                <w:rFonts w:ascii="Cambria" w:hAnsi="Cambria"/>
              </w:rPr>
              <w:t xml:space="preserve"> injection</w:t>
            </w:r>
          </w:p>
        </w:tc>
        <w:tc>
          <w:tcPr>
            <w:tcW w:w="2337" w:type="dxa"/>
            <w:tcBorders>
              <w:left w:val="single" w:sz="4" w:space="0" w:color="538135"/>
            </w:tcBorders>
          </w:tcPr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Control</w:t>
            </w:r>
            <w:r w:rsidR="00171204">
              <w:rPr>
                <w:rFonts w:ascii="Cambria" w:hAnsi="Cambria"/>
              </w:rPr>
              <w:t>s</w:t>
            </w:r>
            <w:bookmarkStart w:id="0" w:name="_GoBack"/>
            <w:bookmarkEnd w:id="0"/>
            <w:r w:rsidRPr="00171204">
              <w:rPr>
                <w:rFonts w:ascii="Cambria" w:hAnsi="Cambria"/>
              </w:rPr>
              <w:t xml:space="preserve"> the timing of estrus and ovulation in estrous cycling cattle.</w:t>
            </w:r>
          </w:p>
        </w:tc>
        <w:tc>
          <w:tcPr>
            <w:tcW w:w="2338" w:type="dxa"/>
          </w:tcPr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Hormonal</w:t>
            </w:r>
          </w:p>
        </w:tc>
        <w:tc>
          <w:tcPr>
            <w:tcW w:w="2338" w:type="dxa"/>
            <w:tcBorders>
              <w:right w:val="single" w:sz="4" w:space="0" w:color="538135"/>
            </w:tcBorders>
          </w:tcPr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Works effective if cattle has corpus luteum</w:t>
            </w:r>
          </w:p>
        </w:tc>
      </w:tr>
      <w:tr w:rsidR="0034039E" w:rsidRPr="0034039E" w:rsidTr="0030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538135"/>
              <w:left w:val="single" w:sz="4" w:space="0" w:color="538135" w:themeColor="accent6" w:themeShade="BF"/>
              <w:bottom w:val="single" w:sz="4" w:space="0" w:color="538135"/>
              <w:right w:val="single" w:sz="4" w:space="0" w:color="538135"/>
            </w:tcBorders>
          </w:tcPr>
          <w:p w:rsidR="0034039E" w:rsidRPr="00171204" w:rsidRDefault="0034039E" w:rsidP="0034039E">
            <w:pPr>
              <w:rPr>
                <w:rFonts w:ascii="Cambria" w:hAnsi="Cambria"/>
              </w:rPr>
            </w:pPr>
            <w:proofErr w:type="spellStart"/>
            <w:r w:rsidRPr="00171204">
              <w:rPr>
                <w:rFonts w:ascii="Cambria" w:hAnsi="Cambria"/>
              </w:rPr>
              <w:t>Fertiline</w:t>
            </w:r>
            <w:proofErr w:type="spellEnd"/>
            <w:r w:rsidRPr="00171204">
              <w:rPr>
                <w:rFonts w:ascii="Cambria" w:hAnsi="Cambria"/>
              </w:rPr>
              <w:t xml:space="preserve"> solution injectable</w:t>
            </w:r>
          </w:p>
        </w:tc>
        <w:tc>
          <w:tcPr>
            <w:tcW w:w="2337" w:type="dxa"/>
            <w:tcBorders>
              <w:left w:val="single" w:sz="4" w:space="0" w:color="538135"/>
            </w:tcBorders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 xml:space="preserve">Synthetic hypothalamic luteinizing hormone enhances the </w:t>
            </w:r>
            <w:proofErr w:type="spellStart"/>
            <w:r w:rsidRPr="00171204">
              <w:rPr>
                <w:rFonts w:ascii="Cambria" w:hAnsi="Cambria"/>
              </w:rPr>
              <w:t>hypothalamo</w:t>
            </w:r>
            <w:proofErr w:type="spellEnd"/>
            <w:r w:rsidRPr="00171204">
              <w:rPr>
                <w:rFonts w:ascii="Cambria" w:hAnsi="Cambria"/>
              </w:rPr>
              <w:t>-pituitary axis function to have proper growth and development of follicles and increase the conception rate.</w:t>
            </w:r>
          </w:p>
        </w:tc>
        <w:tc>
          <w:tcPr>
            <w:tcW w:w="2338" w:type="dxa"/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Hormonal</w:t>
            </w:r>
          </w:p>
        </w:tc>
        <w:tc>
          <w:tcPr>
            <w:tcW w:w="2338" w:type="dxa"/>
            <w:tcBorders>
              <w:right w:val="single" w:sz="4" w:space="0" w:color="538135"/>
            </w:tcBorders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Unknown</w:t>
            </w:r>
          </w:p>
        </w:tc>
      </w:tr>
      <w:tr w:rsidR="0034039E" w:rsidRPr="0034039E" w:rsidTr="00171204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538135"/>
              <w:left w:val="single" w:sz="4" w:space="0" w:color="538135" w:themeColor="accent6" w:themeShade="BF"/>
              <w:right w:val="single" w:sz="4" w:space="0" w:color="538135"/>
            </w:tcBorders>
          </w:tcPr>
          <w:p w:rsidR="0034039E" w:rsidRPr="00171204" w:rsidRDefault="0034039E" w:rsidP="0034039E">
            <w:pPr>
              <w:rPr>
                <w:rFonts w:ascii="Cambria" w:hAnsi="Cambria"/>
              </w:rPr>
            </w:pPr>
            <w:proofErr w:type="spellStart"/>
            <w:r w:rsidRPr="00171204">
              <w:rPr>
                <w:rFonts w:ascii="Cambria" w:hAnsi="Cambria"/>
              </w:rPr>
              <w:lastRenderedPageBreak/>
              <w:t>Metricyclin</w:t>
            </w:r>
            <w:proofErr w:type="spellEnd"/>
            <w:r w:rsidRPr="00171204">
              <w:rPr>
                <w:rFonts w:ascii="Cambria" w:hAnsi="Cambria"/>
              </w:rPr>
              <w:t xml:space="preserve">  Chlortetracycline hydrochloride</w:t>
            </w:r>
          </w:p>
          <w:p w:rsidR="0034039E" w:rsidRPr="00171204" w:rsidRDefault="0034039E" w:rsidP="0034039E">
            <w:pPr>
              <w:rPr>
                <w:rFonts w:ascii="Cambria" w:hAnsi="Cambria"/>
              </w:rPr>
            </w:pPr>
          </w:p>
        </w:tc>
        <w:tc>
          <w:tcPr>
            <w:tcW w:w="2337" w:type="dxa"/>
            <w:tcBorders>
              <w:left w:val="single" w:sz="4" w:space="0" w:color="538135"/>
            </w:tcBorders>
          </w:tcPr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Treatment of</w:t>
            </w:r>
          </w:p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 xml:space="preserve">uterine infections during parturition caused by chlortetracycline </w:t>
            </w:r>
          </w:p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sensitive germs.</w:t>
            </w:r>
          </w:p>
        </w:tc>
        <w:tc>
          <w:tcPr>
            <w:tcW w:w="2338" w:type="dxa"/>
          </w:tcPr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Broad spectrum antibiotic</w:t>
            </w:r>
          </w:p>
        </w:tc>
        <w:tc>
          <w:tcPr>
            <w:tcW w:w="2338" w:type="dxa"/>
            <w:tcBorders>
              <w:right w:val="single" w:sz="4" w:space="0" w:color="538135"/>
            </w:tcBorders>
          </w:tcPr>
          <w:p w:rsidR="0034039E" w:rsidRPr="00171204" w:rsidRDefault="0034039E" w:rsidP="0034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Unknown</w:t>
            </w:r>
          </w:p>
        </w:tc>
      </w:tr>
      <w:tr w:rsidR="0034039E" w:rsidRPr="0034039E" w:rsidTr="0030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538135"/>
              <w:left w:val="single" w:sz="4" w:space="0" w:color="538135"/>
              <w:right w:val="single" w:sz="4" w:space="0" w:color="538135"/>
            </w:tcBorders>
          </w:tcPr>
          <w:p w:rsidR="0034039E" w:rsidRPr="00171204" w:rsidRDefault="0034039E" w:rsidP="0034039E">
            <w:pPr>
              <w:rPr>
                <w:rFonts w:ascii="Cambria" w:hAnsi="Cambria"/>
              </w:rPr>
            </w:pPr>
            <w:proofErr w:type="spellStart"/>
            <w:r w:rsidRPr="00171204">
              <w:rPr>
                <w:rFonts w:ascii="Cambria" w:hAnsi="Cambria"/>
              </w:rPr>
              <w:t>Metricure</w:t>
            </w:r>
            <w:proofErr w:type="spellEnd"/>
            <w:r w:rsidRPr="00171204">
              <w:rPr>
                <w:rFonts w:ascii="Cambria" w:hAnsi="Cambria"/>
              </w:rPr>
              <w:t xml:space="preserve"> 500 mg Intrauterine suspension</w:t>
            </w:r>
          </w:p>
        </w:tc>
        <w:tc>
          <w:tcPr>
            <w:tcW w:w="2337" w:type="dxa"/>
            <w:tcBorders>
              <w:left w:val="single" w:sz="4" w:space="0" w:color="538135"/>
            </w:tcBorders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 xml:space="preserve">Treatment of subacute and chronic endometritis in cows (at least 14 days after parturition) caused by bacteria sensitive to </w:t>
            </w:r>
            <w:proofErr w:type="spellStart"/>
            <w:r w:rsidRPr="00171204">
              <w:rPr>
                <w:rFonts w:ascii="Cambria" w:hAnsi="Cambria"/>
              </w:rPr>
              <w:t>cefapirin</w:t>
            </w:r>
            <w:proofErr w:type="spellEnd"/>
          </w:p>
        </w:tc>
        <w:tc>
          <w:tcPr>
            <w:tcW w:w="2338" w:type="dxa"/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broad spectrum antibiotic</w:t>
            </w:r>
          </w:p>
        </w:tc>
        <w:tc>
          <w:tcPr>
            <w:tcW w:w="2338" w:type="dxa"/>
            <w:tcBorders>
              <w:right w:val="single" w:sz="4" w:space="0" w:color="538135"/>
            </w:tcBorders>
          </w:tcPr>
          <w:p w:rsidR="0034039E" w:rsidRPr="00171204" w:rsidRDefault="0034039E" w:rsidP="0034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1204">
              <w:rPr>
                <w:rFonts w:ascii="Cambria" w:hAnsi="Cambria"/>
              </w:rPr>
              <w:t>Hypersensitivity reactions may occur.</w:t>
            </w:r>
          </w:p>
        </w:tc>
      </w:tr>
    </w:tbl>
    <w:p w:rsidR="00D35B59" w:rsidRDefault="00171204"/>
    <w:sectPr w:rsidR="00D3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9E"/>
    <w:rsid w:val="00171204"/>
    <w:rsid w:val="0034039E"/>
    <w:rsid w:val="0066389F"/>
    <w:rsid w:val="00B33B95"/>
    <w:rsid w:val="00B572A0"/>
    <w:rsid w:val="00E3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42AF64-91DE-4AB2-B2F1-09D31275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5">
    <w:name w:val="Grid Table 5 Dark Accent 5"/>
    <w:basedOn w:val="TableNormal"/>
    <w:uiPriority w:val="50"/>
    <w:rsid w:val="003403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Stitches</dc:creator>
  <cp:keywords/>
  <dc:description/>
  <cp:lastModifiedBy>Celeste Madray</cp:lastModifiedBy>
  <cp:revision>2</cp:revision>
  <dcterms:created xsi:type="dcterms:W3CDTF">2017-09-09T16:41:00Z</dcterms:created>
  <dcterms:modified xsi:type="dcterms:W3CDTF">2017-09-09T23:41:00Z</dcterms:modified>
</cp:coreProperties>
</file>