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7D72F" w14:textId="77777777" w:rsidR="00FA519D" w:rsidRDefault="00FA519D" w:rsidP="00FA519D">
      <w:pPr>
        <w:pStyle w:val="Ttulo2"/>
        <w:rPr>
          <w:rFonts w:cs="Times New Roman"/>
          <w:szCs w:val="24"/>
          <w:lang w:val="es-ES"/>
        </w:rPr>
      </w:pPr>
      <w:bookmarkStart w:id="0" w:name="_Toc475439069"/>
      <w:r>
        <w:rPr>
          <w:rFonts w:cs="Times New Roman"/>
          <w:szCs w:val="24"/>
          <w:lang w:val="es-ES"/>
        </w:rPr>
        <w:t>Arquitectura de un SGBD.</w:t>
      </w:r>
      <w:bookmarkEnd w:id="0"/>
    </w:p>
    <w:p w14:paraId="3C46E457" w14:textId="77777777" w:rsidR="00FA519D" w:rsidRPr="002C4B5B" w:rsidRDefault="00FA519D" w:rsidP="00D50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color w:val="000000"/>
          <w:szCs w:val="22"/>
          <w:lang w:val="es-ES_tradnl" w:eastAsia="es-CO"/>
        </w:rPr>
      </w:pPr>
      <w:r w:rsidRPr="002C4B5B">
        <w:rPr>
          <w:color w:val="000000"/>
          <w:szCs w:val="22"/>
          <w:lang w:val="es-ES_tradnl" w:eastAsia="es-CO"/>
        </w:rPr>
        <w:t xml:space="preserve">Es uno de los aspectos que todavía sigue pendiente. Desde la aparición de los primeros </w:t>
      </w:r>
      <w:r w:rsidRPr="00F1721D">
        <w:rPr>
          <w:color w:val="000000"/>
          <w:szCs w:val="22"/>
          <w:highlight w:val="yellow"/>
          <w:lang w:val="es-ES_tradnl" w:eastAsia="es-CO"/>
        </w:rPr>
        <w:t>gestores</w:t>
      </w:r>
      <w:r w:rsidRPr="002C4B5B">
        <w:rPr>
          <w:color w:val="000000"/>
          <w:szCs w:val="22"/>
          <w:lang w:val="es-ES_tradnl" w:eastAsia="es-CO"/>
        </w:rPr>
        <w:t xml:space="preserve"> de base de datos se intentó llegar a un acuerdo para que hubiera una </w:t>
      </w:r>
      <w:r w:rsidRPr="00F1721D">
        <w:rPr>
          <w:color w:val="000000"/>
          <w:szCs w:val="22"/>
          <w:highlight w:val="yellow"/>
          <w:lang w:val="es-ES_tradnl" w:eastAsia="es-CO"/>
        </w:rPr>
        <w:t>estructura</w:t>
      </w:r>
      <w:r w:rsidRPr="002C4B5B">
        <w:rPr>
          <w:color w:val="000000"/>
          <w:szCs w:val="22"/>
          <w:lang w:val="es-ES_tradnl" w:eastAsia="es-CO"/>
        </w:rPr>
        <w:t xml:space="preserve"> común para todos ellos, a fin de que el aprendizaje y manejo de este </w:t>
      </w:r>
      <w:r w:rsidRPr="00F1721D">
        <w:rPr>
          <w:color w:val="000000"/>
          <w:szCs w:val="22"/>
          <w:highlight w:val="yellow"/>
          <w:lang w:val="es-ES_tradnl" w:eastAsia="es-CO"/>
        </w:rPr>
        <w:t>software</w:t>
      </w:r>
      <w:r w:rsidRPr="002C4B5B">
        <w:rPr>
          <w:color w:val="000000"/>
          <w:szCs w:val="22"/>
          <w:lang w:val="es-ES_tradnl" w:eastAsia="es-CO"/>
        </w:rPr>
        <w:t xml:space="preserve"> fuera más provechoso y </w:t>
      </w:r>
      <w:r w:rsidRPr="00F1721D">
        <w:rPr>
          <w:color w:val="000000"/>
          <w:szCs w:val="22"/>
          <w:highlight w:val="yellow"/>
          <w:lang w:val="es-ES_tradnl" w:eastAsia="es-CO"/>
        </w:rPr>
        <w:t>eficiente</w:t>
      </w:r>
      <w:r w:rsidRPr="002C4B5B">
        <w:rPr>
          <w:color w:val="000000"/>
          <w:szCs w:val="22"/>
          <w:lang w:val="es-ES_tradnl" w:eastAsia="es-CO"/>
        </w:rPr>
        <w:t>.</w:t>
      </w:r>
    </w:p>
    <w:p w14:paraId="06B2B547" w14:textId="77777777" w:rsidR="00FA519D" w:rsidRDefault="00FA519D" w:rsidP="00D50E16">
      <w:pPr>
        <w:ind w:left="720"/>
        <w:jc w:val="both"/>
        <w:rPr>
          <w:color w:val="000000"/>
          <w:szCs w:val="22"/>
          <w:lang w:val="es-ES_tradnl" w:eastAsia="es-CO"/>
        </w:rPr>
      </w:pPr>
      <w:r w:rsidRPr="002C4B5B">
        <w:rPr>
          <w:color w:val="000000"/>
          <w:szCs w:val="22"/>
          <w:lang w:val="es-ES_tradnl" w:eastAsia="es-CO"/>
        </w:rPr>
        <w:t xml:space="preserve">El acuerdo nunca se ha conseguido del todo, no hay </w:t>
      </w:r>
      <w:r w:rsidRPr="00F1721D">
        <w:rPr>
          <w:color w:val="000000"/>
          <w:szCs w:val="22"/>
          <w:highlight w:val="yellow"/>
          <w:lang w:val="es-ES_tradnl" w:eastAsia="es-CO"/>
        </w:rPr>
        <w:t>estándares</w:t>
      </w:r>
      <w:r w:rsidRPr="002C4B5B">
        <w:rPr>
          <w:color w:val="000000"/>
          <w:szCs w:val="22"/>
          <w:lang w:val="es-ES_tradnl" w:eastAsia="es-CO"/>
        </w:rPr>
        <w:t xml:space="preserve"> aceptados del todo. Aunque sí hay unas cuentas propuestas de estándares que sí funcionan como tales.</w:t>
      </w:r>
      <w:sdt>
        <w:sdtPr>
          <w:rPr>
            <w:color w:val="000000"/>
            <w:szCs w:val="22"/>
            <w:lang w:val="es-ES_tradnl" w:eastAsia="es-CO"/>
          </w:rPr>
          <w:id w:val="-268011780"/>
          <w:citation/>
        </w:sdtPr>
        <w:sdtEndPr/>
        <w:sdtContent>
          <w:r>
            <w:rPr>
              <w:color w:val="000000"/>
              <w:szCs w:val="22"/>
              <w:lang w:val="es-ES_tradnl" w:eastAsia="es-CO"/>
            </w:rPr>
            <w:fldChar w:fldCharType="begin"/>
          </w:r>
          <w:r>
            <w:rPr>
              <w:color w:val="000000"/>
              <w:szCs w:val="22"/>
              <w:lang w:val="es-ES_tradnl" w:eastAsia="es-CO"/>
            </w:rPr>
            <w:instrText xml:space="preserve">CITATION Ase13 \p 25 \l 1034 </w:instrText>
          </w:r>
          <w:r>
            <w:rPr>
              <w:color w:val="000000"/>
              <w:szCs w:val="22"/>
              <w:lang w:val="es-ES_tradnl" w:eastAsia="es-CO"/>
            </w:rPr>
            <w:fldChar w:fldCharType="separate"/>
          </w:r>
          <w:r>
            <w:rPr>
              <w:noProof/>
              <w:color w:val="000000"/>
              <w:szCs w:val="22"/>
              <w:lang w:val="es-ES_tradnl" w:eastAsia="es-CO"/>
            </w:rPr>
            <w:t xml:space="preserve"> </w:t>
          </w:r>
          <w:r w:rsidRPr="00FA519D">
            <w:rPr>
              <w:noProof/>
              <w:color w:val="000000"/>
              <w:szCs w:val="22"/>
              <w:lang w:val="es-ES_tradnl" w:eastAsia="es-CO"/>
            </w:rPr>
            <w:t>(Sánchez Asenjo, Gestion de Bases de Datos, 2013, pág. 25)</w:t>
          </w:r>
          <w:r>
            <w:rPr>
              <w:color w:val="000000"/>
              <w:szCs w:val="22"/>
              <w:lang w:val="es-ES_tradnl" w:eastAsia="es-CO"/>
            </w:rPr>
            <w:fldChar w:fldCharType="end"/>
          </w:r>
        </w:sdtContent>
      </w:sdt>
    </w:p>
    <w:p w14:paraId="562EE1DF" w14:textId="77777777" w:rsidR="00D50E16" w:rsidRDefault="00D50E16" w:rsidP="00FA519D">
      <w:pPr>
        <w:jc w:val="both"/>
        <w:rPr>
          <w:color w:val="000000"/>
          <w:szCs w:val="22"/>
          <w:lang w:val="es-ES_tradnl" w:eastAsia="es-CO"/>
        </w:rPr>
      </w:pPr>
      <w:bookmarkStart w:id="1" w:name="_GoBack"/>
      <w:bookmarkEnd w:id="1"/>
    </w:p>
    <w:p w14:paraId="0ACD8E3B" w14:textId="77777777" w:rsidR="00D50E16" w:rsidRPr="004219DC" w:rsidRDefault="00D50E16" w:rsidP="00D50E16">
      <w:pPr>
        <w:ind w:left="720"/>
        <w:rPr>
          <w:sz w:val="40"/>
        </w:rPr>
      </w:pPr>
      <w:r w:rsidRPr="004219DC">
        <w:rPr>
          <w:color w:val="000000"/>
          <w:szCs w:val="18"/>
          <w:lang w:val="es-ES_tradnl" w:eastAsia="es-CO"/>
        </w:rPr>
        <w:t>Como las funciones de los distintos usuarios</w:t>
      </w:r>
      <w:r>
        <w:rPr>
          <w:color w:val="000000"/>
          <w:szCs w:val="18"/>
          <w:lang w:val="es-ES_tradnl" w:eastAsia="es-CO"/>
        </w:rPr>
        <w:t xml:space="preserve"> mencionados de una base de da</w:t>
      </w:r>
      <w:r w:rsidRPr="004219DC">
        <w:rPr>
          <w:color w:val="000000"/>
          <w:szCs w:val="18"/>
          <w:lang w:val="es-ES_tradnl" w:eastAsia="es-CO"/>
        </w:rPr>
        <w:t xml:space="preserve">tos son distintas, lo que implica que cada uno puede interactuar de diversas formas con los datos almacenados, surge la </w:t>
      </w:r>
      <w:r w:rsidRPr="00F1721D">
        <w:rPr>
          <w:color w:val="000000"/>
          <w:szCs w:val="18"/>
          <w:highlight w:val="yellow"/>
          <w:lang w:val="es-ES_tradnl" w:eastAsia="es-CO"/>
        </w:rPr>
        <w:t>Arquitectura</w:t>
      </w:r>
      <w:r w:rsidRPr="004219DC">
        <w:rPr>
          <w:color w:val="000000"/>
          <w:szCs w:val="18"/>
          <w:lang w:val="es-ES_tradnl" w:eastAsia="es-CO"/>
        </w:rPr>
        <w:t xml:space="preserve"> </w:t>
      </w:r>
      <w:r w:rsidRPr="00F1721D">
        <w:rPr>
          <w:color w:val="000000"/>
          <w:szCs w:val="18"/>
          <w:highlight w:val="yellow"/>
          <w:lang w:val="es-ES_tradnl" w:eastAsia="es-CO"/>
        </w:rPr>
        <w:t>ANSI/SPARC</w:t>
      </w:r>
      <w:r w:rsidRPr="004219DC">
        <w:rPr>
          <w:color w:val="000000"/>
          <w:szCs w:val="18"/>
          <w:lang w:val="es-ES_tradnl" w:eastAsia="es-CO"/>
        </w:rPr>
        <w:t xml:space="preserve"> para estandarizar los conceptos y permitir una mejor lectura de la independencia de datos, lo que permitirá que se ubique a cada usuario de una base de datos en función de su relación con ella, ya que no todos poseen la misma visión, aunque los datos almacenados son únicos.</w:t>
      </w:r>
      <w:r>
        <w:rPr>
          <w:color w:val="000000"/>
          <w:szCs w:val="18"/>
          <w:lang w:val="es-ES_tradnl" w:eastAsia="es-CO"/>
        </w:rPr>
        <w:t xml:space="preserve"> </w:t>
      </w:r>
      <w:sdt>
        <w:sdtPr>
          <w:rPr>
            <w:color w:val="000000"/>
            <w:szCs w:val="18"/>
            <w:lang w:val="es-ES_tradnl" w:eastAsia="es-CO"/>
          </w:rPr>
          <w:id w:val="-346103750"/>
          <w:citation/>
        </w:sdtPr>
        <w:sdtEndPr/>
        <w:sdtContent>
          <w:r>
            <w:rPr>
              <w:color w:val="000000"/>
              <w:szCs w:val="18"/>
              <w:lang w:val="es-ES_tradnl" w:eastAsia="es-CO"/>
            </w:rPr>
            <w:fldChar w:fldCharType="begin"/>
          </w:r>
          <w:r>
            <w:rPr>
              <w:color w:val="000000"/>
              <w:szCs w:val="18"/>
              <w:lang w:val="es-ES_tradnl" w:eastAsia="es-CO"/>
            </w:rPr>
            <w:instrText xml:space="preserve">CITATION Mal \p 13 \l 1034 </w:instrText>
          </w:r>
          <w:r>
            <w:rPr>
              <w:color w:val="000000"/>
              <w:szCs w:val="18"/>
              <w:lang w:val="es-ES_tradnl" w:eastAsia="es-CO"/>
            </w:rPr>
            <w:fldChar w:fldCharType="separate"/>
          </w:r>
          <w:r w:rsidRPr="00D50E16">
            <w:rPr>
              <w:noProof/>
              <w:color w:val="000000"/>
              <w:szCs w:val="18"/>
              <w:lang w:val="es-ES_tradnl" w:eastAsia="es-CO"/>
            </w:rPr>
            <w:t>(Maldonado, Reinosa, Muñoz, Damiano, &amp; Abrutsky, 2012, pág. 13)</w:t>
          </w:r>
          <w:r>
            <w:rPr>
              <w:color w:val="000000"/>
              <w:szCs w:val="18"/>
              <w:lang w:val="es-ES_tradnl" w:eastAsia="es-CO"/>
            </w:rPr>
            <w:fldChar w:fldCharType="end"/>
          </w:r>
        </w:sdtContent>
      </w:sdt>
    </w:p>
    <w:p w14:paraId="10E105D7" w14:textId="77777777" w:rsidR="00FA519D" w:rsidRDefault="00FA519D" w:rsidP="00FA519D">
      <w:pPr>
        <w:jc w:val="both"/>
        <w:rPr>
          <w:color w:val="000000"/>
          <w:szCs w:val="22"/>
          <w:lang w:val="es-ES_tradnl" w:eastAsia="es-CO"/>
        </w:rPr>
      </w:pPr>
    </w:p>
    <w:p w14:paraId="23A9C08E" w14:textId="77777777" w:rsidR="00FA519D" w:rsidRDefault="00FA519D" w:rsidP="00FA519D"/>
    <w:p w14:paraId="424CCAF2" w14:textId="77777777" w:rsidR="00FA519D" w:rsidRPr="002C4B5B" w:rsidRDefault="00FA519D" w:rsidP="00FA519D"/>
    <w:p w14:paraId="17128B12" w14:textId="77777777" w:rsidR="00FA519D" w:rsidRDefault="00FA519D" w:rsidP="00FA51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474747"/>
        </w:rPr>
      </w:pPr>
      <w:r>
        <w:rPr>
          <w:noProof/>
          <w:color w:val="474747"/>
          <w:lang w:val="es-ES_tradnl" w:eastAsia="es-ES_tradnl"/>
        </w:rPr>
        <w:drawing>
          <wp:inline distT="0" distB="0" distL="0" distR="0" wp14:anchorId="434136DE" wp14:editId="24F1D627">
            <wp:extent cx="4458065" cy="43711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69" cy="438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CDE6" w14:textId="5604EFD2" w:rsidR="004F7752" w:rsidRDefault="00264A64" w:rsidP="00D106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474747"/>
        </w:rPr>
      </w:pPr>
      <w:r>
        <w:rPr>
          <w:color w:val="474747"/>
        </w:rPr>
        <w:t xml:space="preserve">Fig 2. </w:t>
      </w:r>
      <w:sdt>
        <w:sdtPr>
          <w:rPr>
            <w:color w:val="474747"/>
          </w:rPr>
          <w:id w:val="-33360127"/>
          <w:citation/>
        </w:sdtPr>
        <w:sdtEndPr/>
        <w:sdtContent>
          <w:r w:rsidR="00FA519D">
            <w:rPr>
              <w:color w:val="474747"/>
            </w:rPr>
            <w:fldChar w:fldCharType="begin"/>
          </w:r>
          <w:r w:rsidR="00FA519D">
            <w:rPr>
              <w:color w:val="474747"/>
            </w:rPr>
            <w:instrText xml:space="preserve">CITATION Ase131 \p 29 \l 2058 </w:instrText>
          </w:r>
          <w:r w:rsidR="00FA519D">
            <w:rPr>
              <w:color w:val="474747"/>
            </w:rPr>
            <w:fldChar w:fldCharType="separate"/>
          </w:r>
          <w:r w:rsidR="00FA519D" w:rsidRPr="00FA519D">
            <w:rPr>
              <w:noProof/>
              <w:color w:val="474747"/>
            </w:rPr>
            <w:t>(Sánchez Asenjo, Gestión de base de datos, 2013, pág. 29)</w:t>
          </w:r>
          <w:r w:rsidR="00FA519D">
            <w:rPr>
              <w:color w:val="474747"/>
            </w:rPr>
            <w:fldChar w:fldCharType="end"/>
          </w:r>
        </w:sdtContent>
      </w:sdt>
    </w:p>
    <w:p w14:paraId="208DBC51" w14:textId="77777777" w:rsidR="00B15E32" w:rsidRPr="00D1067A" w:rsidRDefault="00B15E32" w:rsidP="00D106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474747"/>
        </w:rPr>
      </w:pPr>
    </w:p>
    <w:sectPr w:rsidR="00B15E32" w:rsidRPr="00D1067A" w:rsidSect="00255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D"/>
    <w:rsid w:val="00031E5B"/>
    <w:rsid w:val="002552A0"/>
    <w:rsid w:val="00264A64"/>
    <w:rsid w:val="00383C98"/>
    <w:rsid w:val="00B15E32"/>
    <w:rsid w:val="00D1067A"/>
    <w:rsid w:val="00D50E16"/>
    <w:rsid w:val="00F1721D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31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9D"/>
    <w:rPr>
      <w:rFonts w:ascii="Times New Roman" w:eastAsia="Times New Roman" w:hAnsi="Times New Roman" w:cs="Times New Roman"/>
      <w:lang w:val="es-MX"/>
    </w:rPr>
  </w:style>
  <w:style w:type="paragraph" w:styleId="Ttulo2">
    <w:name w:val="heading 2"/>
    <w:basedOn w:val="Normal"/>
    <w:next w:val="Normal"/>
    <w:link w:val="Ttulo2Car"/>
    <w:autoRedefine/>
    <w:qFormat/>
    <w:rsid w:val="00FA519D"/>
    <w:pPr>
      <w:keepNext/>
      <w:spacing w:line="36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A519D"/>
    <w:rPr>
      <w:rFonts w:ascii="Times New Roman" w:eastAsia="Times New Roman" w:hAnsi="Times New Roman" w:cs="Arial"/>
      <w:b/>
      <w:bCs/>
      <w:iCs/>
      <w:szCs w:val="28"/>
      <w:lang w:val="es-MX"/>
    </w:rPr>
  </w:style>
  <w:style w:type="paragraph" w:styleId="NormalWeb">
    <w:name w:val="Normal (Web)"/>
    <w:basedOn w:val="Normal"/>
    <w:uiPriority w:val="99"/>
    <w:unhideWhenUsed/>
    <w:rsid w:val="00FA519D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Ase13</b:Tag>
    <b:SourceType>Book</b:SourceType>
    <b:Guid>{D3632A15-0A17-D24F-8D60-A6B7FBFBD329}</b:Guid>
    <b:Title>Gestion de Bases de Datos</b:Title>
    <b:Year>2013</b:Year>
    <b:Author>
      <b:Author>
        <b:NameList>
          <b:Person>
            <b:Last>Sánchez Asenjo</b:Last>
            <b:First>Jorge</b:First>
          </b:Person>
        </b:NameList>
      </b:Author>
    </b:Author>
    <b:RefOrder>1</b:RefOrder>
  </b:Source>
  <b:Source>
    <b:Tag>Ase131</b:Tag>
    <b:SourceType>Book</b:SourceType>
    <b:Guid>{992138BB-FD02-9C44-AB93-B8BC21CA5FA8}</b:Guid>
    <b:Title>Gestión de base de datos</b:Title>
    <b:Year>2013</b:Year>
    <b:Author>
      <b:Author>
        <b:NameList>
          <b:Person>
            <b:Last>Sánchez Asenjo</b:Last>
            <b:First>Jorge</b:First>
          </b:Person>
        </b:NameList>
      </b:Author>
    </b:Author>
    <b:RefOrder>3</b:RefOrder>
  </b:Source>
  <b:Source>
    <b:Tag>Mal</b:Tag>
    <b:SourceType>Book</b:SourceType>
    <b:Guid>{20C5F094-71E2-E24A-BE01-7E8865B1EA40}</b:Guid>
    <b:Title>Bases de Datos</b:Title>
    <b:Publisher>Alfaomega</b:Publisher>
    <b:Author>
      <b:Author>
        <b:NameList>
          <b:Person>
            <b:Last>Maldonado</b:Last>
            <b:Middle>Alejandro</b:Middle>
            <b:First>Calixto</b:First>
          </b:Person>
          <b:Person>
            <b:Last>Reinosa</b:Last>
            <b:Middle>Jose</b:Middle>
            <b:First>Enrique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City>Buenos Aires</b:City>
    <b:CountryRegion>Argentina</b:CountryRegion>
    <b:Year>2012</b:Year>
    <b:RefOrder>2</b:RefOrder>
  </b:Source>
</b:Sources>
</file>

<file path=customXml/itemProps1.xml><?xml version="1.0" encoding="utf-8"?>
<ds:datastoreItem xmlns:ds="http://schemas.openxmlformats.org/officeDocument/2006/customXml" ds:itemID="{CB56B8AF-19FB-9C42-87E5-5081D5EF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1071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Arquitectura de un SGBD.</vt:lpstr>
    </vt:vector>
  </TitlesOfParts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2017-02-22T04:46:00Z</dcterms:created>
  <dcterms:modified xsi:type="dcterms:W3CDTF">2017-02-22T18:57:00Z</dcterms:modified>
</cp:coreProperties>
</file>