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7" w:rsidRDefault="00BB144B">
      <w:pPr>
        <w:rPr>
          <w:b/>
          <w:i/>
          <w:sz w:val="28"/>
          <w:szCs w:val="28"/>
          <w:u w:val="single"/>
        </w:rPr>
      </w:pPr>
      <w:r w:rsidRPr="00BB144B">
        <w:rPr>
          <w:b/>
          <w:i/>
          <w:sz w:val="28"/>
          <w:szCs w:val="28"/>
          <w:u w:val="single"/>
        </w:rPr>
        <w:t>Drugs</w:t>
      </w:r>
    </w:p>
    <w:p w:rsidR="00BB144B" w:rsidRDefault="00BB144B">
      <w:pPr>
        <w:rPr>
          <w:sz w:val="24"/>
          <w:szCs w:val="24"/>
        </w:rPr>
      </w:pPr>
      <w:r>
        <w:rPr>
          <w:sz w:val="24"/>
          <w:szCs w:val="24"/>
        </w:rPr>
        <w:t>Toxic Dose of Lidocaine</w:t>
      </w:r>
    </w:p>
    <w:p w:rsidR="0077309C" w:rsidRDefault="0077309C">
      <w:pPr>
        <w:rPr>
          <w:sz w:val="24"/>
          <w:szCs w:val="24"/>
        </w:rPr>
      </w:pPr>
      <w:r>
        <w:rPr>
          <w:sz w:val="24"/>
          <w:szCs w:val="24"/>
        </w:rPr>
        <w:t xml:space="preserve">Toxic dose rate- </w:t>
      </w:r>
      <w:r w:rsidR="00774DE8">
        <w:rPr>
          <w:sz w:val="24"/>
          <w:szCs w:val="24"/>
        </w:rPr>
        <w:t>10 mg/kg</w:t>
      </w:r>
    </w:p>
    <w:p w:rsidR="00774DE8" w:rsidRDefault="00774DE8">
      <w:pPr>
        <w:rPr>
          <w:sz w:val="24"/>
          <w:szCs w:val="24"/>
        </w:rPr>
      </w:pPr>
      <w:r>
        <w:rPr>
          <w:sz w:val="24"/>
          <w:szCs w:val="24"/>
        </w:rPr>
        <w:t>Concentration- 2 %</w:t>
      </w:r>
    </w:p>
    <w:p w:rsidR="00774DE8" w:rsidRDefault="00774DE8">
      <w:pPr>
        <w:rPr>
          <w:sz w:val="24"/>
          <w:szCs w:val="24"/>
        </w:rPr>
      </w:pPr>
      <w:r>
        <w:rPr>
          <w:sz w:val="24"/>
          <w:szCs w:val="24"/>
        </w:rPr>
        <w:t>Weight of the calf- 200 kg</w:t>
      </w:r>
    </w:p>
    <w:p w:rsidR="00BC3723" w:rsidRDefault="00651DFC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Volume=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10×200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</m:oMath>
      <w:r w:rsidR="0054028A">
        <w:rPr>
          <w:rFonts w:eastAsiaTheme="minorEastAsia"/>
          <w:sz w:val="24"/>
          <w:szCs w:val="24"/>
        </w:rPr>
        <w:t xml:space="preserve">= </w:t>
      </w:r>
      <w:r w:rsidR="00ED2252">
        <w:rPr>
          <w:rFonts w:eastAsiaTheme="minorEastAsia"/>
          <w:sz w:val="24"/>
          <w:szCs w:val="24"/>
        </w:rPr>
        <w:t>100 ml</w:t>
      </w:r>
      <w:r w:rsidR="00C34B32">
        <w:rPr>
          <w:rFonts w:eastAsiaTheme="minorEastAsia"/>
          <w:sz w:val="24"/>
          <w:szCs w:val="24"/>
        </w:rPr>
        <w:t xml:space="preserve"> </w:t>
      </w:r>
    </w:p>
    <w:p w:rsidR="002B32F9" w:rsidRDefault="00C34B32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Volume of lidocaine used was 10 ml far less than the toxic dose.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8"/>
        <w:gridCol w:w="868"/>
        <w:gridCol w:w="1506"/>
        <w:gridCol w:w="1428"/>
        <w:gridCol w:w="1525"/>
        <w:gridCol w:w="1724"/>
        <w:gridCol w:w="3260"/>
      </w:tblGrid>
      <w:tr w:rsidR="00887F28" w:rsidRPr="00A15AE2" w:rsidTr="00F1308D">
        <w:tc>
          <w:tcPr>
            <w:tcW w:w="1308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Drug</w:t>
            </w:r>
          </w:p>
        </w:tc>
        <w:tc>
          <w:tcPr>
            <w:tcW w:w="868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Dose Rate (mg/kg OR IU)</w:t>
            </w:r>
          </w:p>
        </w:tc>
        <w:tc>
          <w:tcPr>
            <w:tcW w:w="1506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Concentration (mg/ml OR IU)</w:t>
            </w:r>
          </w:p>
        </w:tc>
        <w:tc>
          <w:tcPr>
            <w:tcW w:w="1428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Volume Administered (ml)</w:t>
            </w:r>
          </w:p>
        </w:tc>
        <w:tc>
          <w:tcPr>
            <w:tcW w:w="1525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Time of administration</w:t>
            </w:r>
            <w:r w:rsidR="00A15AE2">
              <w:rPr>
                <w:rFonts w:eastAsiaTheme="minorEastAsia"/>
                <w:sz w:val="20"/>
                <w:szCs w:val="20"/>
              </w:rPr>
              <w:t xml:space="preserve"> (pm)</w:t>
            </w:r>
          </w:p>
        </w:tc>
        <w:tc>
          <w:tcPr>
            <w:tcW w:w="1724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Route of Administration</w:t>
            </w:r>
          </w:p>
        </w:tc>
        <w:tc>
          <w:tcPr>
            <w:tcW w:w="3260" w:type="dxa"/>
          </w:tcPr>
          <w:p w:rsidR="00032F35" w:rsidRPr="00A15AE2" w:rsidRDefault="00A15AE2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Withdrawal time</w:t>
            </w:r>
          </w:p>
        </w:tc>
      </w:tr>
      <w:tr w:rsidR="00887F28" w:rsidTr="00F1308D">
        <w:tc>
          <w:tcPr>
            <w:tcW w:w="1308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A15AE2">
              <w:rPr>
                <w:rFonts w:eastAsiaTheme="minorEastAsia"/>
                <w:sz w:val="20"/>
                <w:szCs w:val="20"/>
              </w:rPr>
              <w:t>Xylazine</w:t>
            </w:r>
            <w:proofErr w:type="spellEnd"/>
          </w:p>
        </w:tc>
        <w:tc>
          <w:tcPr>
            <w:tcW w:w="868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0.05</w:t>
            </w:r>
          </w:p>
        </w:tc>
        <w:tc>
          <w:tcPr>
            <w:tcW w:w="1506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20</w:t>
            </w:r>
          </w:p>
        </w:tc>
        <w:tc>
          <w:tcPr>
            <w:tcW w:w="1428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0.5</w:t>
            </w:r>
            <w:r w:rsidR="00224E75">
              <w:rPr>
                <w:rFonts w:eastAsiaTheme="minorEastAsia"/>
                <w:sz w:val="20"/>
                <w:szCs w:val="20"/>
              </w:rPr>
              <w:t xml:space="preserve"> + 0.25 top up</w:t>
            </w:r>
            <w:bookmarkStart w:id="0" w:name="_GoBack"/>
            <w:bookmarkEnd w:id="0"/>
          </w:p>
        </w:tc>
        <w:tc>
          <w:tcPr>
            <w:tcW w:w="1525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2:03</w:t>
            </w:r>
          </w:p>
        </w:tc>
        <w:tc>
          <w:tcPr>
            <w:tcW w:w="1724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IM</w:t>
            </w:r>
          </w:p>
        </w:tc>
        <w:tc>
          <w:tcPr>
            <w:tcW w:w="3260" w:type="dxa"/>
          </w:tcPr>
          <w:p w:rsidR="00032F35" w:rsidRPr="00A15AE2" w:rsidRDefault="00F257F0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257F0">
              <w:rPr>
                <w:rFonts w:eastAsiaTheme="minorEastAsia"/>
                <w:sz w:val="20"/>
                <w:szCs w:val="20"/>
              </w:rPr>
              <w:t>48 hrs milk; 3 days meat</w:t>
            </w:r>
          </w:p>
        </w:tc>
      </w:tr>
      <w:tr w:rsidR="00887F28" w:rsidTr="00F1308D">
        <w:tc>
          <w:tcPr>
            <w:tcW w:w="1308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Ketamine</w:t>
            </w:r>
          </w:p>
        </w:tc>
        <w:tc>
          <w:tcPr>
            <w:tcW w:w="868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506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1428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525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2:03</w:t>
            </w:r>
          </w:p>
        </w:tc>
        <w:tc>
          <w:tcPr>
            <w:tcW w:w="1724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IM</w:t>
            </w:r>
          </w:p>
        </w:tc>
        <w:tc>
          <w:tcPr>
            <w:tcW w:w="3260" w:type="dxa"/>
          </w:tcPr>
          <w:p w:rsidR="002B32F9" w:rsidRPr="002B32F9" w:rsidRDefault="002B32F9" w:rsidP="002B32F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Meat: 3 days</w:t>
            </w:r>
          </w:p>
          <w:p w:rsidR="00032F35" w:rsidRPr="00A15AE2" w:rsidRDefault="002B32F9" w:rsidP="002B32F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B32F9">
              <w:rPr>
                <w:rFonts w:eastAsiaTheme="minorEastAsia"/>
                <w:sz w:val="20"/>
                <w:szCs w:val="20"/>
              </w:rPr>
              <w:t>Milk: 48 hours</w:t>
            </w:r>
          </w:p>
        </w:tc>
      </w:tr>
      <w:tr w:rsidR="00887F28" w:rsidTr="00F1308D">
        <w:tc>
          <w:tcPr>
            <w:tcW w:w="1308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A15AE2">
              <w:rPr>
                <w:rFonts w:eastAsiaTheme="minorEastAsia"/>
                <w:sz w:val="20"/>
                <w:szCs w:val="20"/>
              </w:rPr>
              <w:t>Flunixin</w:t>
            </w:r>
            <w:proofErr w:type="spellEnd"/>
          </w:p>
        </w:tc>
        <w:tc>
          <w:tcPr>
            <w:tcW w:w="868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1.1</w:t>
            </w:r>
          </w:p>
        </w:tc>
        <w:tc>
          <w:tcPr>
            <w:tcW w:w="1506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50</w:t>
            </w:r>
          </w:p>
        </w:tc>
        <w:tc>
          <w:tcPr>
            <w:tcW w:w="1428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4.4</w:t>
            </w:r>
          </w:p>
        </w:tc>
        <w:tc>
          <w:tcPr>
            <w:tcW w:w="1525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2:20</w:t>
            </w:r>
          </w:p>
        </w:tc>
        <w:tc>
          <w:tcPr>
            <w:tcW w:w="1724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IV</w:t>
            </w:r>
          </w:p>
        </w:tc>
        <w:tc>
          <w:tcPr>
            <w:tcW w:w="3260" w:type="dxa"/>
          </w:tcPr>
          <w:p w:rsidR="00032F35" w:rsidRPr="00A15AE2" w:rsidRDefault="009248A3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248A3">
              <w:rPr>
                <w:rFonts w:eastAsiaTheme="minorEastAsia"/>
                <w:sz w:val="20"/>
                <w:szCs w:val="20"/>
              </w:rPr>
              <w:t>4 days for meat, 36 hours for milk</w:t>
            </w:r>
          </w:p>
        </w:tc>
      </w:tr>
      <w:tr w:rsidR="00887F28" w:rsidTr="00F1308D">
        <w:tc>
          <w:tcPr>
            <w:tcW w:w="1308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Lidocaine</w:t>
            </w:r>
          </w:p>
        </w:tc>
        <w:tc>
          <w:tcPr>
            <w:tcW w:w="868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__</w:t>
            </w:r>
          </w:p>
        </w:tc>
        <w:tc>
          <w:tcPr>
            <w:tcW w:w="1506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__</w:t>
            </w:r>
          </w:p>
        </w:tc>
        <w:tc>
          <w:tcPr>
            <w:tcW w:w="1428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10  (5 in each spermatic cord)</w:t>
            </w:r>
          </w:p>
        </w:tc>
        <w:tc>
          <w:tcPr>
            <w:tcW w:w="1525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2:28</w:t>
            </w:r>
          </w:p>
        </w:tc>
        <w:tc>
          <w:tcPr>
            <w:tcW w:w="1724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Injected in the spermatic cords</w:t>
            </w:r>
          </w:p>
        </w:tc>
        <w:tc>
          <w:tcPr>
            <w:tcW w:w="3260" w:type="dxa"/>
          </w:tcPr>
          <w:p w:rsidR="00032F35" w:rsidRPr="00A15AE2" w:rsidRDefault="00E55D82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24 hours for both meat and milk</w:t>
            </w:r>
          </w:p>
        </w:tc>
      </w:tr>
      <w:tr w:rsidR="00887F28" w:rsidTr="00F1308D">
        <w:tc>
          <w:tcPr>
            <w:tcW w:w="1308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Pen-strep</w:t>
            </w:r>
          </w:p>
        </w:tc>
        <w:tc>
          <w:tcPr>
            <w:tcW w:w="868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20,000</w:t>
            </w:r>
          </w:p>
        </w:tc>
        <w:tc>
          <w:tcPr>
            <w:tcW w:w="1506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200,000</w:t>
            </w:r>
          </w:p>
        </w:tc>
        <w:tc>
          <w:tcPr>
            <w:tcW w:w="1428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20</w:t>
            </w:r>
          </w:p>
        </w:tc>
        <w:tc>
          <w:tcPr>
            <w:tcW w:w="1525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2:06</w:t>
            </w:r>
          </w:p>
        </w:tc>
        <w:tc>
          <w:tcPr>
            <w:tcW w:w="1724" w:type="dxa"/>
          </w:tcPr>
          <w:p w:rsidR="00032F35" w:rsidRPr="00A15AE2" w:rsidRDefault="00032F35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IM</w:t>
            </w:r>
          </w:p>
        </w:tc>
        <w:tc>
          <w:tcPr>
            <w:tcW w:w="3260" w:type="dxa"/>
          </w:tcPr>
          <w:p w:rsidR="00032F35" w:rsidRPr="00A15AE2" w:rsidRDefault="004F0467" w:rsidP="003D2756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F0467">
              <w:rPr>
                <w:rFonts w:eastAsiaTheme="minorEastAsia"/>
                <w:sz w:val="20"/>
                <w:szCs w:val="20"/>
              </w:rPr>
              <w:t>Meat-30 days. Milk-10 days</w:t>
            </w:r>
          </w:p>
        </w:tc>
      </w:tr>
      <w:tr w:rsidR="00887F28" w:rsidTr="00F1308D">
        <w:tc>
          <w:tcPr>
            <w:tcW w:w="1308" w:type="dxa"/>
          </w:tcPr>
          <w:p w:rsidR="00887F28" w:rsidRPr="00A15AE2" w:rsidRDefault="00887F28" w:rsidP="00887F28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A15AE2">
              <w:rPr>
                <w:rFonts w:eastAsiaTheme="minorEastAsia"/>
                <w:sz w:val="20"/>
                <w:szCs w:val="20"/>
              </w:rPr>
              <w:t>Tolazoline</w:t>
            </w:r>
            <w:proofErr w:type="spellEnd"/>
          </w:p>
        </w:tc>
        <w:tc>
          <w:tcPr>
            <w:tcW w:w="868" w:type="dxa"/>
          </w:tcPr>
          <w:p w:rsidR="00887F28" w:rsidRPr="00A15AE2" w:rsidRDefault="00887F28" w:rsidP="00887F2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0.2</w:t>
            </w:r>
          </w:p>
        </w:tc>
        <w:tc>
          <w:tcPr>
            <w:tcW w:w="1506" w:type="dxa"/>
          </w:tcPr>
          <w:p w:rsidR="00887F28" w:rsidRPr="00A15AE2" w:rsidRDefault="00887F28" w:rsidP="00887F2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100</w:t>
            </w:r>
          </w:p>
        </w:tc>
        <w:tc>
          <w:tcPr>
            <w:tcW w:w="1428" w:type="dxa"/>
          </w:tcPr>
          <w:p w:rsidR="00887F28" w:rsidRPr="00A15AE2" w:rsidRDefault="00887F28" w:rsidP="00887F2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0.4</w:t>
            </w:r>
          </w:p>
        </w:tc>
        <w:tc>
          <w:tcPr>
            <w:tcW w:w="1525" w:type="dxa"/>
          </w:tcPr>
          <w:p w:rsidR="00887F28" w:rsidRPr="00A15AE2" w:rsidRDefault="00887F28" w:rsidP="00887F2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Not given</w:t>
            </w:r>
          </w:p>
        </w:tc>
        <w:tc>
          <w:tcPr>
            <w:tcW w:w="1724" w:type="dxa"/>
          </w:tcPr>
          <w:p w:rsidR="00887F28" w:rsidRPr="00A15AE2" w:rsidRDefault="00887F28" w:rsidP="00887F2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IM/IV</w:t>
            </w:r>
          </w:p>
        </w:tc>
        <w:tc>
          <w:tcPr>
            <w:tcW w:w="3260" w:type="dxa"/>
          </w:tcPr>
          <w:p w:rsidR="00887F28" w:rsidRPr="00DF4E63" w:rsidRDefault="00887F28" w:rsidP="00887F28">
            <w:r w:rsidRPr="00DF4E63">
              <w:t xml:space="preserve">48 hours milk and 8 days meat </w:t>
            </w:r>
          </w:p>
        </w:tc>
      </w:tr>
      <w:tr w:rsidR="00887F28" w:rsidTr="00F1308D">
        <w:tc>
          <w:tcPr>
            <w:tcW w:w="1308" w:type="dxa"/>
          </w:tcPr>
          <w:p w:rsidR="00887F28" w:rsidRPr="00A15AE2" w:rsidRDefault="00887F28" w:rsidP="00887F2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Atropine</w:t>
            </w:r>
          </w:p>
        </w:tc>
        <w:tc>
          <w:tcPr>
            <w:tcW w:w="868" w:type="dxa"/>
          </w:tcPr>
          <w:p w:rsidR="00887F28" w:rsidRPr="00A15AE2" w:rsidRDefault="00887F28" w:rsidP="00887F2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0.04</w:t>
            </w:r>
          </w:p>
        </w:tc>
        <w:tc>
          <w:tcPr>
            <w:tcW w:w="1506" w:type="dxa"/>
          </w:tcPr>
          <w:p w:rsidR="00887F28" w:rsidRPr="00A15AE2" w:rsidRDefault="00887F28" w:rsidP="00887F2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15</w:t>
            </w:r>
          </w:p>
        </w:tc>
        <w:tc>
          <w:tcPr>
            <w:tcW w:w="1428" w:type="dxa"/>
          </w:tcPr>
          <w:p w:rsidR="00887F28" w:rsidRPr="00A15AE2" w:rsidRDefault="00887F28" w:rsidP="00887F2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0.53</w:t>
            </w:r>
          </w:p>
        </w:tc>
        <w:tc>
          <w:tcPr>
            <w:tcW w:w="1525" w:type="dxa"/>
          </w:tcPr>
          <w:p w:rsidR="00887F28" w:rsidRPr="00A15AE2" w:rsidRDefault="00887F28" w:rsidP="00887F2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 xml:space="preserve">Not given </w:t>
            </w:r>
          </w:p>
        </w:tc>
        <w:tc>
          <w:tcPr>
            <w:tcW w:w="1724" w:type="dxa"/>
          </w:tcPr>
          <w:p w:rsidR="00887F28" w:rsidRPr="00A15AE2" w:rsidRDefault="00887F28" w:rsidP="00887F2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¼ IV and the rest IM or SC</w:t>
            </w:r>
          </w:p>
        </w:tc>
        <w:tc>
          <w:tcPr>
            <w:tcW w:w="3260" w:type="dxa"/>
          </w:tcPr>
          <w:p w:rsidR="00887F28" w:rsidRPr="00DF4E63" w:rsidRDefault="00887F28" w:rsidP="00887F28">
            <w:r w:rsidRPr="00DF4E63">
              <w:t>6 days milk, 28 days meat</w:t>
            </w:r>
          </w:p>
        </w:tc>
      </w:tr>
      <w:tr w:rsidR="00887F28" w:rsidTr="00F1308D">
        <w:tc>
          <w:tcPr>
            <w:tcW w:w="1308" w:type="dxa"/>
          </w:tcPr>
          <w:p w:rsidR="00887F28" w:rsidRPr="00A15AE2" w:rsidRDefault="00887F28" w:rsidP="00887F2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Epinephrine</w:t>
            </w:r>
          </w:p>
        </w:tc>
        <w:tc>
          <w:tcPr>
            <w:tcW w:w="868" w:type="dxa"/>
          </w:tcPr>
          <w:p w:rsidR="00887F28" w:rsidRPr="00A15AE2" w:rsidRDefault="00887F28" w:rsidP="00887F2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0.02</w:t>
            </w:r>
          </w:p>
        </w:tc>
        <w:tc>
          <w:tcPr>
            <w:tcW w:w="1506" w:type="dxa"/>
          </w:tcPr>
          <w:p w:rsidR="00887F28" w:rsidRPr="00A15AE2" w:rsidRDefault="00887F28" w:rsidP="00887F2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428" w:type="dxa"/>
          </w:tcPr>
          <w:p w:rsidR="00887F28" w:rsidRPr="00A15AE2" w:rsidRDefault="00887F28" w:rsidP="00887F2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525" w:type="dxa"/>
          </w:tcPr>
          <w:p w:rsidR="00887F28" w:rsidRPr="00A15AE2" w:rsidRDefault="00887F28" w:rsidP="00887F2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Not given</w:t>
            </w:r>
          </w:p>
        </w:tc>
        <w:tc>
          <w:tcPr>
            <w:tcW w:w="1724" w:type="dxa"/>
          </w:tcPr>
          <w:p w:rsidR="00887F28" w:rsidRPr="00A15AE2" w:rsidRDefault="00887F28" w:rsidP="00887F28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5AE2">
              <w:rPr>
                <w:rFonts w:eastAsiaTheme="minorEastAsia"/>
                <w:sz w:val="20"/>
                <w:szCs w:val="20"/>
              </w:rPr>
              <w:t>IM/SC</w:t>
            </w:r>
          </w:p>
        </w:tc>
        <w:tc>
          <w:tcPr>
            <w:tcW w:w="3260" w:type="dxa"/>
          </w:tcPr>
          <w:p w:rsidR="00887F28" w:rsidRDefault="00887F28" w:rsidP="00887F28">
            <w:r w:rsidRPr="00DF4E63">
              <w:t xml:space="preserve"> 0 days meat and milk</w:t>
            </w:r>
          </w:p>
        </w:tc>
      </w:tr>
    </w:tbl>
    <w:p w:rsidR="0054028A" w:rsidRDefault="00D7534D" w:rsidP="00D7534D">
      <w:pPr>
        <w:rPr>
          <w:rFonts w:eastAsiaTheme="minorEastAsia"/>
          <w:sz w:val="24"/>
          <w:szCs w:val="24"/>
          <w:u w:val="single"/>
        </w:rPr>
      </w:pPr>
      <w:r w:rsidRPr="00D7534D">
        <w:rPr>
          <w:rFonts w:eastAsiaTheme="minorEastAsia"/>
          <w:sz w:val="24"/>
          <w:szCs w:val="24"/>
          <w:u w:val="single"/>
        </w:rPr>
        <w:t xml:space="preserve">TABLE </w:t>
      </w:r>
      <w:r w:rsidR="00E04BBB">
        <w:rPr>
          <w:rFonts w:eastAsiaTheme="minorEastAsia"/>
          <w:sz w:val="24"/>
          <w:szCs w:val="24"/>
          <w:u w:val="single"/>
        </w:rPr>
        <w:t xml:space="preserve">1 </w:t>
      </w:r>
      <w:r w:rsidRPr="00D7534D">
        <w:rPr>
          <w:rFonts w:eastAsiaTheme="minorEastAsia"/>
          <w:sz w:val="24"/>
          <w:szCs w:val="24"/>
          <w:u w:val="single"/>
        </w:rPr>
        <w:t>SHOWING DRUGS NEEDED FOR CASTRATION SURGERY AND VOLUMES ADMINISTERED</w:t>
      </w:r>
    </w:p>
    <w:p w:rsidR="00A04F68" w:rsidRDefault="00A04F68" w:rsidP="00A04F68">
      <w:pPr>
        <w:rPr>
          <w:rFonts w:eastAsiaTheme="minorEastAsia"/>
          <w:sz w:val="24"/>
          <w:szCs w:val="24"/>
        </w:rPr>
      </w:pPr>
    </w:p>
    <w:p w:rsidR="00F1308D" w:rsidRDefault="00F1308D" w:rsidP="00A04F68">
      <w:pPr>
        <w:rPr>
          <w:rFonts w:eastAsiaTheme="minorEastAsia"/>
          <w:sz w:val="24"/>
          <w:szCs w:val="24"/>
        </w:rPr>
      </w:pPr>
    </w:p>
    <w:p w:rsidR="00F1308D" w:rsidRPr="00A04F68" w:rsidRDefault="00F1308D" w:rsidP="00A04F68">
      <w:pPr>
        <w:rPr>
          <w:rFonts w:eastAsiaTheme="minorEastAsia"/>
          <w:sz w:val="24"/>
          <w:szCs w:val="24"/>
        </w:rPr>
      </w:pPr>
    </w:p>
    <w:tbl>
      <w:tblPr>
        <w:tblStyle w:val="TableGrid"/>
        <w:tblW w:w="13289" w:type="dxa"/>
        <w:tblLayout w:type="fixed"/>
        <w:tblLook w:val="04A0" w:firstRow="1" w:lastRow="0" w:firstColumn="1" w:lastColumn="0" w:noHBand="0" w:noVBand="1"/>
      </w:tblPr>
      <w:tblGrid>
        <w:gridCol w:w="2103"/>
        <w:gridCol w:w="4854"/>
        <w:gridCol w:w="2321"/>
        <w:gridCol w:w="4011"/>
      </w:tblGrid>
      <w:tr w:rsidR="00FD0EDF" w:rsidRPr="000B2BB5" w:rsidTr="00A04F68">
        <w:trPr>
          <w:trHeight w:val="558"/>
        </w:trPr>
        <w:tc>
          <w:tcPr>
            <w:tcW w:w="2103" w:type="dxa"/>
          </w:tcPr>
          <w:p w:rsidR="00FD0EDF" w:rsidRPr="00AE2D5E" w:rsidRDefault="00FD0EDF" w:rsidP="00CC0367">
            <w:pPr>
              <w:rPr>
                <w:rFonts w:eastAsiaTheme="minorEastAsia"/>
                <w:sz w:val="20"/>
                <w:szCs w:val="20"/>
              </w:rPr>
            </w:pPr>
            <w:r w:rsidRPr="00AE2D5E">
              <w:rPr>
                <w:rFonts w:eastAsiaTheme="minorEastAsia"/>
                <w:sz w:val="20"/>
                <w:szCs w:val="20"/>
              </w:rPr>
              <w:t>Drug</w:t>
            </w:r>
          </w:p>
        </w:tc>
        <w:tc>
          <w:tcPr>
            <w:tcW w:w="4854" w:type="dxa"/>
          </w:tcPr>
          <w:p w:rsidR="00FD0EDF" w:rsidRPr="00AE2D5E" w:rsidRDefault="00FD0EDF" w:rsidP="00CC0367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AE2D5E">
              <w:rPr>
                <w:rFonts w:eastAsiaTheme="minorEastAsia"/>
                <w:sz w:val="20"/>
                <w:szCs w:val="20"/>
              </w:rPr>
              <w:t>Drug information</w:t>
            </w:r>
          </w:p>
        </w:tc>
        <w:tc>
          <w:tcPr>
            <w:tcW w:w="2321" w:type="dxa"/>
          </w:tcPr>
          <w:p w:rsidR="00FD0EDF" w:rsidRPr="00AE2D5E" w:rsidRDefault="00FD0EDF" w:rsidP="00CC0367">
            <w:pPr>
              <w:rPr>
                <w:rFonts w:eastAsiaTheme="minorEastAsia"/>
                <w:sz w:val="20"/>
                <w:szCs w:val="20"/>
              </w:rPr>
            </w:pPr>
            <w:r w:rsidRPr="00AE2D5E">
              <w:rPr>
                <w:rFonts w:eastAsiaTheme="minorEastAsia"/>
                <w:sz w:val="20"/>
                <w:szCs w:val="20"/>
              </w:rPr>
              <w:t>Indications</w:t>
            </w:r>
          </w:p>
        </w:tc>
        <w:tc>
          <w:tcPr>
            <w:tcW w:w="4011" w:type="dxa"/>
          </w:tcPr>
          <w:p w:rsidR="00FD0EDF" w:rsidRPr="00AE2D5E" w:rsidRDefault="00FD0EDF" w:rsidP="00CC0367">
            <w:pPr>
              <w:rPr>
                <w:rFonts w:eastAsiaTheme="minorEastAsia"/>
                <w:sz w:val="20"/>
                <w:szCs w:val="20"/>
              </w:rPr>
            </w:pPr>
            <w:r w:rsidRPr="00AE2D5E">
              <w:rPr>
                <w:rFonts w:eastAsiaTheme="minorEastAsia"/>
                <w:sz w:val="20"/>
                <w:szCs w:val="20"/>
              </w:rPr>
              <w:t>Contraindications</w:t>
            </w:r>
          </w:p>
        </w:tc>
      </w:tr>
      <w:tr w:rsidR="00FD0EDF" w:rsidTr="00FD0EDF">
        <w:trPr>
          <w:trHeight w:val="268"/>
        </w:trPr>
        <w:tc>
          <w:tcPr>
            <w:tcW w:w="2103" w:type="dxa"/>
          </w:tcPr>
          <w:p w:rsidR="00FD0EDF" w:rsidRPr="00AE2D5E" w:rsidRDefault="00FD0EDF" w:rsidP="00CC0367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00AE2D5E">
              <w:rPr>
                <w:rFonts w:eastAsiaTheme="minorEastAsia"/>
                <w:sz w:val="20"/>
                <w:szCs w:val="20"/>
              </w:rPr>
              <w:t>Tolazoline</w:t>
            </w:r>
            <w:proofErr w:type="spellEnd"/>
          </w:p>
        </w:tc>
        <w:tc>
          <w:tcPr>
            <w:tcW w:w="4854" w:type="dxa"/>
          </w:tcPr>
          <w:p w:rsidR="00FD0EDF" w:rsidRPr="00AE2D5E" w:rsidRDefault="00FD0EDF" w:rsidP="00CC0367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AE2D5E">
              <w:rPr>
                <w:rFonts w:eastAsiaTheme="minorEastAsia"/>
                <w:sz w:val="20"/>
                <w:szCs w:val="20"/>
              </w:rPr>
              <w:t>A non-selective α adrenergic antagonist. Causes CNS excitement and cardiovascular tachycardia.</w:t>
            </w:r>
          </w:p>
        </w:tc>
        <w:tc>
          <w:tcPr>
            <w:tcW w:w="2321" w:type="dxa"/>
          </w:tcPr>
          <w:p w:rsidR="00FD0EDF" w:rsidRPr="00AE2D5E" w:rsidRDefault="00FD0EDF" w:rsidP="00CC0367">
            <w:pPr>
              <w:rPr>
                <w:rFonts w:eastAsiaTheme="minorEastAsia"/>
                <w:sz w:val="20"/>
                <w:szCs w:val="20"/>
              </w:rPr>
            </w:pPr>
            <w:r w:rsidRPr="00AE2D5E">
              <w:rPr>
                <w:rFonts w:eastAsiaTheme="minorEastAsia"/>
                <w:sz w:val="20"/>
                <w:szCs w:val="20"/>
              </w:rPr>
              <w:t xml:space="preserve">Reversal of  the sedation and analgesia effects of </w:t>
            </w:r>
            <w:proofErr w:type="spellStart"/>
            <w:r w:rsidRPr="00AE2D5E">
              <w:rPr>
                <w:rFonts w:eastAsiaTheme="minorEastAsia"/>
                <w:sz w:val="20"/>
                <w:szCs w:val="20"/>
              </w:rPr>
              <w:t>xylazine</w:t>
            </w:r>
            <w:proofErr w:type="spellEnd"/>
          </w:p>
        </w:tc>
        <w:tc>
          <w:tcPr>
            <w:tcW w:w="4011" w:type="dxa"/>
          </w:tcPr>
          <w:p w:rsidR="00FD0EDF" w:rsidRPr="00AE2D5E" w:rsidRDefault="00FD0EDF" w:rsidP="00CC0367">
            <w:pPr>
              <w:rPr>
                <w:rFonts w:eastAsiaTheme="minorEastAsia"/>
                <w:sz w:val="20"/>
                <w:szCs w:val="20"/>
              </w:rPr>
            </w:pPr>
            <w:r w:rsidRPr="00AE2D5E">
              <w:rPr>
                <w:rFonts w:eastAsiaTheme="minorEastAsia"/>
                <w:sz w:val="20"/>
                <w:szCs w:val="20"/>
              </w:rPr>
              <w:t>No adverse effects</w:t>
            </w:r>
          </w:p>
        </w:tc>
      </w:tr>
      <w:tr w:rsidR="00FD0EDF" w:rsidTr="00AE2D5E">
        <w:trPr>
          <w:trHeight w:val="1641"/>
        </w:trPr>
        <w:tc>
          <w:tcPr>
            <w:tcW w:w="2103" w:type="dxa"/>
          </w:tcPr>
          <w:p w:rsidR="00FD0EDF" w:rsidRPr="00AE2D5E" w:rsidRDefault="00FD0EDF" w:rsidP="00CC0367">
            <w:pPr>
              <w:rPr>
                <w:rFonts w:eastAsiaTheme="minorEastAsia"/>
                <w:sz w:val="20"/>
                <w:szCs w:val="20"/>
              </w:rPr>
            </w:pPr>
            <w:r w:rsidRPr="00AE2D5E">
              <w:rPr>
                <w:rFonts w:eastAsiaTheme="minorEastAsia"/>
                <w:sz w:val="20"/>
                <w:szCs w:val="20"/>
              </w:rPr>
              <w:t>Atropine</w:t>
            </w:r>
          </w:p>
        </w:tc>
        <w:tc>
          <w:tcPr>
            <w:tcW w:w="4854" w:type="dxa"/>
          </w:tcPr>
          <w:p w:rsidR="00FD0EDF" w:rsidRPr="00AE2D5E" w:rsidRDefault="00FD0EDF" w:rsidP="00CC0367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AE2D5E">
              <w:rPr>
                <w:rFonts w:eastAsiaTheme="minorEastAsia"/>
                <w:sz w:val="20"/>
                <w:szCs w:val="20"/>
              </w:rPr>
              <w:t>Anticholinergic agent which blocks acetylcholine effect at muscarinic receptors (</w:t>
            </w:r>
            <w:proofErr w:type="spellStart"/>
            <w:r w:rsidRPr="00AE2D5E">
              <w:rPr>
                <w:rFonts w:eastAsiaTheme="minorEastAsia"/>
                <w:sz w:val="20"/>
                <w:szCs w:val="20"/>
              </w:rPr>
              <w:t>parasympatholytic</w:t>
            </w:r>
            <w:proofErr w:type="spellEnd"/>
            <w:r w:rsidRPr="00AE2D5E">
              <w:rPr>
                <w:rFonts w:eastAsiaTheme="minorEastAsia"/>
                <w:sz w:val="20"/>
                <w:szCs w:val="20"/>
              </w:rPr>
              <w:t xml:space="preserve">). As an </w:t>
            </w:r>
            <w:proofErr w:type="spellStart"/>
            <w:r w:rsidRPr="00AE2D5E">
              <w:rPr>
                <w:rFonts w:eastAsiaTheme="minorEastAsia"/>
                <w:sz w:val="20"/>
                <w:szCs w:val="20"/>
              </w:rPr>
              <w:t>antimuscarinic</w:t>
            </w:r>
            <w:proofErr w:type="spellEnd"/>
            <w:r w:rsidRPr="00AE2D5E">
              <w:rPr>
                <w:rFonts w:eastAsiaTheme="minorEastAsia"/>
                <w:sz w:val="20"/>
                <w:szCs w:val="20"/>
              </w:rPr>
              <w:t xml:space="preserve"> agent, it blocks cholinergic stimulation and causes decrease in gastrointestinal motility and secretions, decrease respiratory secretions, increase heart rate (</w:t>
            </w:r>
            <w:proofErr w:type="spellStart"/>
            <w:r w:rsidRPr="00AE2D5E">
              <w:rPr>
                <w:rFonts w:eastAsiaTheme="minorEastAsia"/>
                <w:sz w:val="20"/>
                <w:szCs w:val="20"/>
              </w:rPr>
              <w:t>antivagal</w:t>
            </w:r>
            <w:proofErr w:type="spellEnd"/>
            <w:r w:rsidRPr="00AE2D5E">
              <w:rPr>
                <w:rFonts w:eastAsiaTheme="minorEastAsia"/>
                <w:sz w:val="20"/>
                <w:szCs w:val="20"/>
              </w:rPr>
              <w:t xml:space="preserve"> effect) and causes mydriasis.</w:t>
            </w:r>
          </w:p>
        </w:tc>
        <w:tc>
          <w:tcPr>
            <w:tcW w:w="2321" w:type="dxa"/>
          </w:tcPr>
          <w:p w:rsidR="00FD0EDF" w:rsidRPr="00AE2D5E" w:rsidRDefault="00FD0EDF" w:rsidP="00CC0367">
            <w:pPr>
              <w:rPr>
                <w:rFonts w:eastAsiaTheme="minorEastAsia"/>
                <w:sz w:val="20"/>
                <w:szCs w:val="20"/>
              </w:rPr>
            </w:pPr>
            <w:r w:rsidRPr="00AE2D5E">
              <w:rPr>
                <w:rFonts w:eastAsiaTheme="minorEastAsia"/>
                <w:sz w:val="20"/>
                <w:szCs w:val="20"/>
              </w:rPr>
              <w:t xml:space="preserve">Counteracting the bradycardic nature of </w:t>
            </w:r>
            <w:proofErr w:type="spellStart"/>
            <w:r w:rsidRPr="00AE2D5E">
              <w:rPr>
                <w:rFonts w:eastAsiaTheme="minorEastAsia"/>
                <w:sz w:val="20"/>
                <w:szCs w:val="20"/>
              </w:rPr>
              <w:t>Xylazine</w:t>
            </w:r>
            <w:proofErr w:type="spellEnd"/>
          </w:p>
        </w:tc>
        <w:tc>
          <w:tcPr>
            <w:tcW w:w="4011" w:type="dxa"/>
          </w:tcPr>
          <w:p w:rsidR="00FD0EDF" w:rsidRPr="00AE2D5E" w:rsidRDefault="00FD0EDF" w:rsidP="00CC0367">
            <w:pPr>
              <w:rPr>
                <w:rFonts w:eastAsiaTheme="minorEastAsia"/>
                <w:sz w:val="20"/>
                <w:szCs w:val="20"/>
              </w:rPr>
            </w:pPr>
            <w:r w:rsidRPr="00AE2D5E">
              <w:rPr>
                <w:rFonts w:eastAsiaTheme="minorEastAsia"/>
                <w:sz w:val="20"/>
                <w:szCs w:val="20"/>
              </w:rPr>
              <w:t>Hypersensitive patients. Patients that have myasthenia gravis</w:t>
            </w:r>
          </w:p>
        </w:tc>
      </w:tr>
      <w:tr w:rsidR="00FD0EDF" w:rsidTr="00AE2D5E">
        <w:trPr>
          <w:trHeight w:val="2401"/>
        </w:trPr>
        <w:tc>
          <w:tcPr>
            <w:tcW w:w="2103" w:type="dxa"/>
          </w:tcPr>
          <w:p w:rsidR="00FD0EDF" w:rsidRPr="00AE2D5E" w:rsidRDefault="00FD0EDF" w:rsidP="00CC0367">
            <w:pPr>
              <w:rPr>
                <w:rFonts w:eastAsiaTheme="minorEastAsia"/>
                <w:sz w:val="20"/>
                <w:szCs w:val="20"/>
              </w:rPr>
            </w:pPr>
            <w:proofErr w:type="spellStart"/>
            <w:r w:rsidRPr="00AE2D5E">
              <w:rPr>
                <w:rFonts w:eastAsiaTheme="minorEastAsia"/>
                <w:sz w:val="20"/>
                <w:szCs w:val="20"/>
              </w:rPr>
              <w:t>Epinepherine</w:t>
            </w:r>
            <w:proofErr w:type="spellEnd"/>
          </w:p>
        </w:tc>
        <w:tc>
          <w:tcPr>
            <w:tcW w:w="4854" w:type="dxa"/>
          </w:tcPr>
          <w:p w:rsidR="00FD0EDF" w:rsidRPr="00AE2D5E" w:rsidRDefault="00FD0EDF" w:rsidP="00CC0367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AE2D5E">
              <w:rPr>
                <w:rFonts w:eastAsiaTheme="minorEastAsia"/>
                <w:sz w:val="20"/>
                <w:szCs w:val="20"/>
              </w:rPr>
              <w:t>Action on alpha-adrenergic receptors- lessens the vasodilation and increased vascular permeability that occurs during anaphylaxis.</w:t>
            </w:r>
          </w:p>
          <w:p w:rsidR="00FD0EDF" w:rsidRPr="00AE2D5E" w:rsidRDefault="00FD0EDF" w:rsidP="00CC0367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AE2D5E">
              <w:rPr>
                <w:rFonts w:eastAsiaTheme="minorEastAsia"/>
                <w:sz w:val="20"/>
                <w:szCs w:val="20"/>
              </w:rPr>
              <w:t xml:space="preserve">Action on beta-adrenergic receptors- causes bronchial smooth muscle relaxation and helps alleviate bronchospasm, wheezing and </w:t>
            </w:r>
            <w:proofErr w:type="spellStart"/>
            <w:r w:rsidRPr="00AE2D5E">
              <w:rPr>
                <w:rFonts w:eastAsiaTheme="minorEastAsia"/>
                <w:sz w:val="20"/>
                <w:szCs w:val="20"/>
              </w:rPr>
              <w:t>dyspnea</w:t>
            </w:r>
            <w:proofErr w:type="spellEnd"/>
            <w:r w:rsidRPr="00AE2D5E">
              <w:rPr>
                <w:rFonts w:eastAsiaTheme="minorEastAsia"/>
                <w:sz w:val="20"/>
                <w:szCs w:val="20"/>
              </w:rPr>
              <w:t xml:space="preserve"> that may occur during anaphylaxis.</w:t>
            </w:r>
          </w:p>
          <w:p w:rsidR="00FD0EDF" w:rsidRPr="00AE2D5E" w:rsidRDefault="00FD0EDF" w:rsidP="00CC0367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AE2D5E">
              <w:rPr>
                <w:rFonts w:eastAsiaTheme="minorEastAsia"/>
                <w:sz w:val="20"/>
                <w:szCs w:val="20"/>
              </w:rPr>
              <w:t xml:space="preserve">Epinephrine also alleviates pruritus, </w:t>
            </w:r>
            <w:proofErr w:type="spellStart"/>
            <w:r w:rsidRPr="00AE2D5E">
              <w:rPr>
                <w:rFonts w:eastAsiaTheme="minorEastAsia"/>
                <w:sz w:val="20"/>
                <w:szCs w:val="20"/>
              </w:rPr>
              <w:t>urticaria</w:t>
            </w:r>
            <w:proofErr w:type="spellEnd"/>
            <w:r w:rsidRPr="00AE2D5E">
              <w:rPr>
                <w:rFonts w:eastAsiaTheme="minorEastAsia"/>
                <w:sz w:val="20"/>
                <w:szCs w:val="20"/>
              </w:rPr>
              <w:t xml:space="preserve">, and angioedema and may relieve gastrointestinal and genitourinary symptoms associated with anaphylaxis </w:t>
            </w:r>
          </w:p>
        </w:tc>
        <w:tc>
          <w:tcPr>
            <w:tcW w:w="2321" w:type="dxa"/>
          </w:tcPr>
          <w:p w:rsidR="00FD0EDF" w:rsidRPr="00AE2D5E" w:rsidRDefault="00FD0EDF" w:rsidP="00CC0367">
            <w:pPr>
              <w:rPr>
                <w:rFonts w:eastAsiaTheme="minorEastAsia"/>
                <w:sz w:val="20"/>
                <w:szCs w:val="20"/>
              </w:rPr>
            </w:pPr>
            <w:r w:rsidRPr="00AE2D5E">
              <w:rPr>
                <w:rFonts w:eastAsiaTheme="minorEastAsia"/>
                <w:sz w:val="20"/>
                <w:szCs w:val="20"/>
              </w:rPr>
              <w:t xml:space="preserve">For emergency use only in treating </w:t>
            </w:r>
            <w:proofErr w:type="spellStart"/>
            <w:r w:rsidRPr="00AE2D5E">
              <w:rPr>
                <w:rFonts w:eastAsiaTheme="minorEastAsia"/>
                <w:sz w:val="20"/>
                <w:szCs w:val="20"/>
              </w:rPr>
              <w:t>anaphylactoid</w:t>
            </w:r>
            <w:proofErr w:type="spellEnd"/>
            <w:r w:rsidRPr="00AE2D5E">
              <w:rPr>
                <w:rFonts w:eastAsiaTheme="minorEastAsia"/>
                <w:sz w:val="20"/>
                <w:szCs w:val="20"/>
              </w:rPr>
              <w:t xml:space="preserve"> shock in sheep, swine, cattle, horses, dogs and cats</w:t>
            </w:r>
          </w:p>
        </w:tc>
        <w:tc>
          <w:tcPr>
            <w:tcW w:w="4011" w:type="dxa"/>
          </w:tcPr>
          <w:p w:rsidR="00FD0EDF" w:rsidRPr="00AE2D5E" w:rsidRDefault="00FD0EDF" w:rsidP="00CC0367">
            <w:pPr>
              <w:rPr>
                <w:rFonts w:eastAsiaTheme="minorEastAsia"/>
                <w:sz w:val="20"/>
                <w:szCs w:val="20"/>
              </w:rPr>
            </w:pPr>
            <w:r w:rsidRPr="00AE2D5E">
              <w:rPr>
                <w:rFonts w:eastAsiaTheme="minorEastAsia"/>
                <w:sz w:val="20"/>
                <w:szCs w:val="20"/>
              </w:rPr>
              <w:t>Epinephrine may cause anxiety, tremors, excitability, vomiting, high blood pressure, and abnormal heart rhythms</w:t>
            </w:r>
          </w:p>
        </w:tc>
      </w:tr>
    </w:tbl>
    <w:p w:rsidR="00D94FEC" w:rsidRPr="00E04BBB" w:rsidRDefault="00E04BBB" w:rsidP="00D94FEC">
      <w:pPr>
        <w:rPr>
          <w:rFonts w:eastAsiaTheme="minorEastAsia"/>
          <w:sz w:val="24"/>
          <w:szCs w:val="24"/>
          <w:u w:val="single"/>
        </w:rPr>
      </w:pPr>
      <w:r w:rsidRPr="00E04BBB">
        <w:rPr>
          <w:rFonts w:eastAsiaTheme="minorEastAsia"/>
          <w:sz w:val="24"/>
          <w:szCs w:val="24"/>
          <w:u w:val="single"/>
        </w:rPr>
        <w:t>TABLE 2 EMERGENCY DRUGS EFFECTS AND CONTRAINDICATIONS</w:t>
      </w:r>
    </w:p>
    <w:p w:rsidR="00A04F68" w:rsidRPr="00E04BBB" w:rsidRDefault="00A04F68" w:rsidP="00A04F68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FB44CD">
        <w:rPr>
          <w:rFonts w:eastAsiaTheme="minorEastAsia"/>
          <w:sz w:val="24"/>
          <w:szCs w:val="24"/>
        </w:rPr>
        <w:t>Volumes of drug to be administered were found using the formula 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Dose ×weight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concentration</m:t>
            </m:r>
          </m:den>
        </m:f>
      </m:oMath>
    </w:p>
    <w:p w:rsidR="00A04F68" w:rsidRPr="00FB44CD" w:rsidRDefault="00A04F68" w:rsidP="00A04F68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proofErr w:type="spellStart"/>
      <w:r w:rsidRPr="00FB44CD">
        <w:rPr>
          <w:rFonts w:eastAsiaTheme="minorEastAsia"/>
          <w:sz w:val="24"/>
          <w:szCs w:val="24"/>
        </w:rPr>
        <w:t>Xylazine</w:t>
      </w:r>
      <w:proofErr w:type="spellEnd"/>
      <w:r w:rsidRPr="00FB44CD">
        <w:rPr>
          <w:rFonts w:eastAsiaTheme="minorEastAsia"/>
          <w:sz w:val="24"/>
          <w:szCs w:val="24"/>
        </w:rPr>
        <w:t xml:space="preserve"> and Ketamine were mixed into one syringe and given simultaneously.</w:t>
      </w:r>
    </w:p>
    <w:p w:rsidR="00A04F68" w:rsidRDefault="00A04F68" w:rsidP="00A04F68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FB44CD">
        <w:rPr>
          <w:rFonts w:eastAsiaTheme="minorEastAsia"/>
          <w:sz w:val="24"/>
          <w:szCs w:val="24"/>
        </w:rPr>
        <w:t xml:space="preserve">Emergency drugs; </w:t>
      </w:r>
      <w:proofErr w:type="spellStart"/>
      <w:r w:rsidRPr="00FB44CD">
        <w:rPr>
          <w:rFonts w:eastAsiaTheme="minorEastAsia"/>
          <w:sz w:val="24"/>
          <w:szCs w:val="24"/>
        </w:rPr>
        <w:t>tolazoline</w:t>
      </w:r>
      <w:proofErr w:type="spellEnd"/>
      <w:r w:rsidRPr="00FB44CD">
        <w:rPr>
          <w:rFonts w:eastAsiaTheme="minorEastAsia"/>
          <w:sz w:val="24"/>
          <w:szCs w:val="24"/>
        </w:rPr>
        <w:t xml:space="preserve">, atropine and epinephrine were not required for the procedure as no adverse reactions to the drugs were seen. </w:t>
      </w:r>
    </w:p>
    <w:p w:rsidR="00D94FEC" w:rsidRDefault="00D94FEC" w:rsidP="00D94FEC">
      <w:pPr>
        <w:rPr>
          <w:rFonts w:eastAsiaTheme="minorEastAsia"/>
          <w:sz w:val="24"/>
          <w:szCs w:val="24"/>
        </w:rPr>
      </w:pPr>
    </w:p>
    <w:p w:rsidR="00D94FEC" w:rsidRDefault="00D94FEC" w:rsidP="00D94FEC">
      <w:pPr>
        <w:rPr>
          <w:rFonts w:eastAsiaTheme="minorEastAsia"/>
          <w:sz w:val="24"/>
          <w:szCs w:val="24"/>
        </w:rPr>
      </w:pPr>
    </w:p>
    <w:p w:rsidR="00D94FEC" w:rsidRDefault="00D94FEC" w:rsidP="00D94FEC">
      <w:pPr>
        <w:rPr>
          <w:rFonts w:eastAsiaTheme="minorEastAsia"/>
          <w:sz w:val="24"/>
          <w:szCs w:val="24"/>
        </w:rPr>
      </w:pPr>
    </w:p>
    <w:p w:rsidR="00D94FEC" w:rsidRDefault="00D94FEC" w:rsidP="00D94FEC">
      <w:pPr>
        <w:rPr>
          <w:rFonts w:eastAsiaTheme="minorEastAsia"/>
          <w:sz w:val="24"/>
          <w:szCs w:val="24"/>
        </w:rPr>
      </w:pPr>
    </w:p>
    <w:p w:rsidR="00D94FEC" w:rsidRDefault="00D94FEC" w:rsidP="00D94FEC">
      <w:pPr>
        <w:rPr>
          <w:rFonts w:eastAsiaTheme="minorEastAsia"/>
          <w:sz w:val="24"/>
          <w:szCs w:val="24"/>
        </w:rPr>
      </w:pPr>
    </w:p>
    <w:p w:rsidR="00D94FEC" w:rsidRDefault="00D94FEC" w:rsidP="00D94FEC">
      <w:pPr>
        <w:rPr>
          <w:rFonts w:eastAsiaTheme="minorEastAsia"/>
          <w:sz w:val="24"/>
          <w:szCs w:val="24"/>
        </w:rPr>
      </w:pPr>
    </w:p>
    <w:p w:rsidR="00D94FEC" w:rsidRPr="00D94FEC" w:rsidRDefault="00D94FEC" w:rsidP="00D94FEC">
      <w:pPr>
        <w:rPr>
          <w:rFonts w:eastAsiaTheme="minorEastAsia"/>
          <w:sz w:val="24"/>
          <w:szCs w:val="24"/>
        </w:rPr>
      </w:pPr>
    </w:p>
    <w:p w:rsidR="00F65292" w:rsidRPr="00F65292" w:rsidRDefault="00F65292" w:rsidP="00D7534D">
      <w:pPr>
        <w:rPr>
          <w:rFonts w:eastAsiaTheme="minorEastAsia"/>
          <w:sz w:val="24"/>
          <w:szCs w:val="24"/>
        </w:rPr>
      </w:pPr>
    </w:p>
    <w:sectPr w:rsidR="00F65292" w:rsidRPr="00F65292" w:rsidSect="00E55D8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866B0"/>
    <w:multiLevelType w:val="hybridMultilevel"/>
    <w:tmpl w:val="95E4BF4A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4B"/>
    <w:rsid w:val="00012DE9"/>
    <w:rsid w:val="00032F35"/>
    <w:rsid w:val="00224E75"/>
    <w:rsid w:val="00287DCD"/>
    <w:rsid w:val="002B32F9"/>
    <w:rsid w:val="00350AB4"/>
    <w:rsid w:val="003C3502"/>
    <w:rsid w:val="003D2756"/>
    <w:rsid w:val="00426EC4"/>
    <w:rsid w:val="004F0467"/>
    <w:rsid w:val="0053648F"/>
    <w:rsid w:val="0054028A"/>
    <w:rsid w:val="00651DFC"/>
    <w:rsid w:val="0071074A"/>
    <w:rsid w:val="00712876"/>
    <w:rsid w:val="0075102A"/>
    <w:rsid w:val="0077309C"/>
    <w:rsid w:val="00774DE8"/>
    <w:rsid w:val="00815CF2"/>
    <w:rsid w:val="008335E2"/>
    <w:rsid w:val="00887F28"/>
    <w:rsid w:val="008B3E3C"/>
    <w:rsid w:val="008D169A"/>
    <w:rsid w:val="009248A3"/>
    <w:rsid w:val="0093145E"/>
    <w:rsid w:val="00A04F68"/>
    <w:rsid w:val="00A15AE2"/>
    <w:rsid w:val="00A27C6E"/>
    <w:rsid w:val="00A404DF"/>
    <w:rsid w:val="00AE2D5E"/>
    <w:rsid w:val="00BB144B"/>
    <w:rsid w:val="00BC3723"/>
    <w:rsid w:val="00C34B32"/>
    <w:rsid w:val="00CD6BCF"/>
    <w:rsid w:val="00D7534D"/>
    <w:rsid w:val="00D94FEC"/>
    <w:rsid w:val="00E04BBB"/>
    <w:rsid w:val="00E55D82"/>
    <w:rsid w:val="00ED2252"/>
    <w:rsid w:val="00F1308D"/>
    <w:rsid w:val="00F257F0"/>
    <w:rsid w:val="00F65292"/>
    <w:rsid w:val="00FB44CD"/>
    <w:rsid w:val="00FD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869C48-ADF8-414F-95C8-B6E30E5B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1DFC"/>
    <w:rPr>
      <w:color w:val="808080"/>
    </w:rPr>
  </w:style>
  <w:style w:type="table" w:styleId="TableGrid">
    <w:name w:val="Table Grid"/>
    <w:basedOn w:val="TableNormal"/>
    <w:uiPriority w:val="39"/>
    <w:rsid w:val="00833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Tenika Mohammed</dc:creator>
  <cp:keywords/>
  <dc:description/>
  <cp:lastModifiedBy>Tenika Mohammed</cp:lastModifiedBy>
  <cp:revision>1</cp:revision>
  <dcterms:created xsi:type="dcterms:W3CDTF">2016-10-30T03:15:00Z</dcterms:created>
  <dcterms:modified xsi:type="dcterms:W3CDTF">2016-10-30T04:33:00Z</dcterms:modified>
</cp:coreProperties>
</file>