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D2" w:rsidRPr="00FF2C4D" w:rsidRDefault="00FF2C4D" w:rsidP="00F135E4">
      <w:pPr>
        <w:spacing w:after="0" w:line="360" w:lineRule="auto"/>
        <w:rPr>
          <w:rFonts w:ascii="Times New Roman" w:hAnsi="Times New Roman" w:cs="Times New Roman"/>
          <w:sz w:val="24"/>
          <w:szCs w:val="24"/>
        </w:rPr>
      </w:pPr>
      <w:r w:rsidRPr="00FF2C4D">
        <w:rPr>
          <w:rFonts w:ascii="Times New Roman" w:hAnsi="Times New Roman" w:cs="Times New Roman"/>
          <w:sz w:val="24"/>
          <w:szCs w:val="24"/>
        </w:rPr>
        <w:t xml:space="preserve">Coherencia </w:t>
      </w:r>
    </w:p>
    <w:p w:rsidR="00FF2C4D" w:rsidRDefault="00FF2C4D" w:rsidP="00F135E4">
      <w:pPr>
        <w:spacing w:after="0" w:line="360" w:lineRule="auto"/>
        <w:ind w:left="1418"/>
        <w:jc w:val="both"/>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Es el desarrollo y la disposición lógica de un tema se logra considerando primero el tema desde el comienzo hasta el fin y ordenar sus partes en orden lógico y que guarden armonía entre sí que permiten su comprensión  y razonamiento.</w:t>
      </w:r>
    </w:p>
    <w:p w:rsidR="00FF2C4D" w:rsidRPr="00FF2C4D" w:rsidRDefault="00FF2C4D" w:rsidP="00F135E4">
      <w:pPr>
        <w:spacing w:after="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Además, la coherencia es una propiedad de lo textos bien formados que permite concebirlos como entidades unitarias, de manera que las diversas ideas secundarias aporten información relevante para llegar a la idea principal, o, tema de tal forma que el lector pueda encontrar el significado global del texto así del mismo modo que los diversos capítulos de un libro que vistos por separado tienen significados unitarios, se relacionan entre </w:t>
      </w:r>
      <w:proofErr w:type="spellStart"/>
      <w:r>
        <w:rPr>
          <w:rFonts w:ascii="Times New Roman" w:hAnsi="Times New Roman" w:cs="Times New Roman"/>
          <w:color w:val="000000" w:themeColor="text1"/>
          <w:sz w:val="24"/>
          <w:szCs w:val="24"/>
        </w:rPr>
        <w:t>si</w:t>
      </w:r>
      <w:proofErr w:type="spellEnd"/>
      <w:r>
        <w:rPr>
          <w:rFonts w:ascii="Times New Roman" w:hAnsi="Times New Roman" w:cs="Times New Roman"/>
          <w:color w:val="000000" w:themeColor="text1"/>
          <w:sz w:val="24"/>
          <w:szCs w:val="24"/>
        </w:rPr>
        <w:t>, también las diversas secciones o párrafos se interrelacionan para formar capítulos, y las oraciones y frases para formar párrafos. La coherencia está estrechamente relacionada con la cohesión; con la diferencia de que la coherencia es un procedimiento macro textual y la cohesión es un procedimiento micro textual.</w:t>
      </w:r>
      <w:sdt>
        <w:sdtPr>
          <w:rPr>
            <w:rFonts w:ascii="Times New Roman" w:hAnsi="Times New Roman" w:cs="Times New Roman"/>
            <w:color w:val="000000" w:themeColor="text1"/>
            <w:sz w:val="24"/>
            <w:szCs w:val="24"/>
          </w:rPr>
          <w:id w:val="-1780029806"/>
          <w:citation/>
        </w:sdtPr>
        <w:sdtEndPr/>
        <w:sdtContent>
          <w:r>
            <w:rPr>
              <w:rFonts w:ascii="Times New Roman" w:hAnsi="Times New Roman" w:cs="Times New Roman"/>
              <w:color w:val="000000" w:themeColor="text1"/>
              <w:sz w:val="24"/>
              <w:szCs w:val="24"/>
            </w:rPr>
            <w:fldChar w:fldCharType="begin"/>
          </w:r>
          <w:r w:rsidR="00F135E4">
            <w:rPr>
              <w:rFonts w:ascii="Times New Roman" w:hAnsi="Times New Roman" w:cs="Times New Roman"/>
              <w:color w:val="000000" w:themeColor="text1"/>
              <w:sz w:val="24"/>
              <w:szCs w:val="24"/>
            </w:rPr>
            <w:instrText xml:space="preserve">CITATION Muñ11 \p 127 \l 2058 </w:instrText>
          </w:r>
          <w:r>
            <w:rPr>
              <w:rFonts w:ascii="Times New Roman" w:hAnsi="Times New Roman" w:cs="Times New Roman"/>
              <w:color w:val="000000" w:themeColor="text1"/>
              <w:sz w:val="24"/>
              <w:szCs w:val="24"/>
            </w:rPr>
            <w:fldChar w:fldCharType="separate"/>
          </w:r>
          <w:r w:rsidR="00F135E4">
            <w:rPr>
              <w:rFonts w:ascii="Times New Roman" w:hAnsi="Times New Roman" w:cs="Times New Roman"/>
              <w:noProof/>
              <w:color w:val="000000" w:themeColor="text1"/>
              <w:sz w:val="24"/>
              <w:szCs w:val="24"/>
            </w:rPr>
            <w:t xml:space="preserve"> </w:t>
          </w:r>
          <w:r w:rsidR="00F135E4" w:rsidRPr="00F135E4">
            <w:rPr>
              <w:rFonts w:ascii="Times New Roman" w:hAnsi="Times New Roman" w:cs="Times New Roman"/>
              <w:noProof/>
              <w:color w:val="000000" w:themeColor="text1"/>
              <w:sz w:val="24"/>
              <w:szCs w:val="24"/>
            </w:rPr>
            <w:t>(Muños, 2011, pág. 127)</w:t>
          </w:r>
          <w:r>
            <w:rPr>
              <w:rFonts w:ascii="Times New Roman" w:hAnsi="Times New Roman" w:cs="Times New Roman"/>
              <w:color w:val="000000" w:themeColor="text1"/>
              <w:sz w:val="24"/>
              <w:szCs w:val="24"/>
            </w:rPr>
            <w:fldChar w:fldCharType="end"/>
          </w:r>
        </w:sdtContent>
      </w:sdt>
    </w:p>
    <w:p w:rsidR="00B53408" w:rsidRDefault="00B53408" w:rsidP="007540D2">
      <w:pPr>
        <w:spacing w:line="360" w:lineRule="auto"/>
        <w:jc w:val="both"/>
        <w:rPr>
          <w:rFonts w:ascii="Times New Roman" w:hAnsi="Times New Roman" w:cs="Times New Roman"/>
          <w:sz w:val="24"/>
          <w:szCs w:val="24"/>
        </w:rPr>
      </w:pPr>
    </w:p>
    <w:p w:rsidR="002E5794" w:rsidRPr="007540D2" w:rsidRDefault="002E5794" w:rsidP="007540D2">
      <w:pPr>
        <w:spacing w:line="360" w:lineRule="auto"/>
        <w:jc w:val="both"/>
        <w:rPr>
          <w:rFonts w:ascii="Times New Roman" w:hAnsi="Times New Roman" w:cs="Times New Roman"/>
          <w:sz w:val="24"/>
          <w:szCs w:val="24"/>
        </w:rPr>
      </w:pPr>
    </w:p>
    <w:sectPr w:rsidR="002E5794" w:rsidRPr="007540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9C"/>
    <w:rsid w:val="0010529C"/>
    <w:rsid w:val="002E5794"/>
    <w:rsid w:val="007540D2"/>
    <w:rsid w:val="00B53408"/>
    <w:rsid w:val="00F00B22"/>
    <w:rsid w:val="00F135E4"/>
    <w:rsid w:val="00FF2C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188D1-BE9F-49E4-A6AC-800B8121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540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40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28055">
      <w:bodyDiv w:val="1"/>
      <w:marLeft w:val="0"/>
      <w:marRight w:val="0"/>
      <w:marTop w:val="0"/>
      <w:marBottom w:val="0"/>
      <w:divBdr>
        <w:top w:val="none" w:sz="0" w:space="0" w:color="auto"/>
        <w:left w:val="none" w:sz="0" w:space="0" w:color="auto"/>
        <w:bottom w:val="none" w:sz="0" w:space="0" w:color="auto"/>
        <w:right w:val="none" w:sz="0" w:space="0" w:color="auto"/>
      </w:divBdr>
    </w:div>
    <w:div w:id="1144155111">
      <w:bodyDiv w:val="1"/>
      <w:marLeft w:val="0"/>
      <w:marRight w:val="0"/>
      <w:marTop w:val="0"/>
      <w:marBottom w:val="0"/>
      <w:divBdr>
        <w:top w:val="none" w:sz="0" w:space="0" w:color="auto"/>
        <w:left w:val="none" w:sz="0" w:space="0" w:color="auto"/>
        <w:bottom w:val="none" w:sz="0" w:space="0" w:color="auto"/>
        <w:right w:val="none" w:sz="0" w:space="0" w:color="auto"/>
      </w:divBdr>
    </w:div>
    <w:div w:id="1834492620">
      <w:bodyDiv w:val="1"/>
      <w:marLeft w:val="0"/>
      <w:marRight w:val="0"/>
      <w:marTop w:val="0"/>
      <w:marBottom w:val="0"/>
      <w:divBdr>
        <w:top w:val="none" w:sz="0" w:space="0" w:color="auto"/>
        <w:left w:val="none" w:sz="0" w:space="0" w:color="auto"/>
        <w:bottom w:val="none" w:sz="0" w:space="0" w:color="auto"/>
        <w:right w:val="none" w:sz="0" w:space="0" w:color="auto"/>
      </w:divBdr>
    </w:div>
    <w:div w:id="197875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Muñ11</b:Tag>
    <b:SourceType>Book</b:SourceType>
    <b:Guid>{AD591309-C1B0-404B-881A-833691E50DCA}</b:Guid>
    <b:Title>Fundamentos de investigación</b:Title>
    <b:Year>2011</b:Year>
    <b:Author>
      <b:Author>
        <b:NameList>
          <b:Person>
            <b:Last>Muños</b:Last>
            <b:First>Erica</b:First>
            <b:Middle>Maria Lara</b:Middle>
          </b:Person>
        </b:NameList>
      </b:Author>
    </b:Author>
    <b:City>México</b:City>
    <b:Publisher>Alfa omega</b:Publisher>
    <b:RefOrder>1</b:RefOrder>
  </b:Source>
</b:Sources>
</file>

<file path=customXml/itemProps1.xml><?xml version="1.0" encoding="utf-8"?>
<ds:datastoreItem xmlns:ds="http://schemas.openxmlformats.org/officeDocument/2006/customXml" ds:itemID="{892BC0F8-8344-4745-8B12-FC5A3D3D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164</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Alberto García Galván</dc:creator>
  <cp:keywords/>
  <dc:description/>
  <cp:lastModifiedBy>Jesús Alberto García Galván</cp:lastModifiedBy>
  <cp:revision>4</cp:revision>
  <dcterms:created xsi:type="dcterms:W3CDTF">2016-10-21T21:54:00Z</dcterms:created>
  <dcterms:modified xsi:type="dcterms:W3CDTF">2016-10-27T19:24:00Z</dcterms:modified>
</cp:coreProperties>
</file>