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9" w:rsidRDefault="0077527F" w:rsidP="0077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físicos en la comunicación oral.</w:t>
      </w:r>
    </w:p>
    <w:p w:rsidR="0077527F" w:rsidRDefault="0077527F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voz. </w:t>
      </w:r>
    </w:p>
    <w:p w:rsidR="0077527F" w:rsidRDefault="0077527F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voz empleada correctamente nos ayuda a mantener la atención del público y a enfatizar aquellos puntos que nos interese destacar.</w:t>
      </w:r>
    </w:p>
    <w:p w:rsidR="0077527F" w:rsidRDefault="001037AC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mirada. </w:t>
      </w:r>
    </w:p>
    <w:p w:rsidR="001037AC" w:rsidRDefault="001037AC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mirar al destinatario(a). delante de un auditorio lo mejor es pasear la vista por todo </w:t>
      </w:r>
      <w:r w:rsidR="00234751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>, de forma pausada. De esta manera se puede comprobar el impacto de la explicación y el grado de atención que despierta, si se dirige al público mirando a cualquier otra parte donde pueda esquivar las miradas de la gente, parecerá que tiene miedo de comprobar que le miran.</w:t>
      </w:r>
    </w:p>
    <w:p w:rsidR="001037AC" w:rsidRDefault="001037AC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postura corporal.</w:t>
      </w:r>
    </w:p>
    <w:p w:rsidR="001037AC" w:rsidRDefault="001037AC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muchas ocasiones el hablar de pie o sentado no va a depender de usted, no obstante, en determinadas circunstancias puede alterar lo previsto, por ejemplo, si </w:t>
      </w:r>
      <w:r w:rsidR="00597666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sentado y parte del </w:t>
      </w:r>
      <w:r w:rsidR="00597666">
        <w:rPr>
          <w:rFonts w:ascii="Times New Roman" w:hAnsi="Times New Roman" w:cs="Times New Roman"/>
          <w:sz w:val="24"/>
          <w:szCs w:val="24"/>
        </w:rPr>
        <w:t>público no le ve, conviene levantarse, se lo agradecerán.</w:t>
      </w:r>
    </w:p>
    <w:p w:rsidR="00597666" w:rsidRDefault="00597666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manos.</w:t>
      </w:r>
    </w:p>
    <w:p w:rsidR="00F4269D" w:rsidRDefault="00F4269D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ser usadas para apoyar la comunicación y serán expresión confirmatoria de lo que quiere decir.</w:t>
      </w:r>
    </w:p>
    <w:p w:rsidR="00F4269D" w:rsidRDefault="00F4269D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Medios de apoyo.</w:t>
      </w:r>
    </w:p>
    <w:p w:rsidR="00F4269D" w:rsidRDefault="00F4269D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 resultar una buena ayuda para mantener la atención, facilita la memorización y clarifica el pensamiento de quienes escuchan, un mal uso puede provocar efectos contrarios a los perseguidos.</w:t>
      </w:r>
    </w:p>
    <w:p w:rsidR="00234751" w:rsidRDefault="00234751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Documentación.</w:t>
      </w:r>
    </w:p>
    <w:p w:rsidR="00234751" w:rsidRDefault="00234751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dispone de documentos complementarios a su charla, debe pensar cual es el mejor momento para entregarlos. </w:t>
      </w:r>
      <w:sdt>
        <w:sdtPr>
          <w:rPr>
            <w:rFonts w:ascii="Times New Roman" w:hAnsi="Times New Roman" w:cs="Times New Roman"/>
            <w:sz w:val="24"/>
            <w:szCs w:val="24"/>
          </w:rPr>
          <w:id w:val="-5593669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B655E">
            <w:rPr>
              <w:rFonts w:ascii="Times New Roman" w:hAnsi="Times New Roman" w:cs="Times New Roman"/>
              <w:sz w:val="24"/>
              <w:szCs w:val="24"/>
            </w:rPr>
            <w:instrText xml:space="preserve">CITATION Lar8 \p "99 - 102"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655E" w:rsidRPr="00EB655E">
            <w:rPr>
              <w:rFonts w:ascii="Times New Roman" w:hAnsi="Times New Roman" w:cs="Times New Roman"/>
              <w:noProof/>
              <w:sz w:val="24"/>
              <w:szCs w:val="24"/>
            </w:rPr>
            <w:t>(Lara, 2011, págs. 99 - 102)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97666" w:rsidRPr="0077527F" w:rsidRDefault="00597666" w:rsidP="00EB655E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666" w:rsidRPr="00775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22FB"/>
    <w:multiLevelType w:val="hybridMultilevel"/>
    <w:tmpl w:val="81F03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F"/>
    <w:rsid w:val="001037AC"/>
    <w:rsid w:val="00234751"/>
    <w:rsid w:val="00597666"/>
    <w:rsid w:val="0077527F"/>
    <w:rsid w:val="00DD0BD9"/>
    <w:rsid w:val="00EB655E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03D30-EA19-4F35-91F5-0A033AC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Lar8</b:Tag>
    <b:SourceType>Book</b:SourceType>
    <b:Guid>{E750B4A5-1225-48DE-9C7A-9E65D9119191}</b:Guid>
    <b:Title>Fundamentos de investigacion</b:Title>
    <b:Publisher>Alfaomega</b:Publisher>
    <b:Author>
      <b:Author>
        <b:NameList>
          <b:Person>
            <b:Last>Lara</b:Last>
            <b:First>Erica Maria</b:First>
          </b:Person>
        </b:NameList>
      </b:Author>
    </b:Author>
    <b:Year>2011</b:Year>
    <b:City>México</b:City>
    <b:RefOrder>1</b:RefOrder>
  </b:Source>
</b:Sources>
</file>

<file path=customXml/itemProps1.xml><?xml version="1.0" encoding="utf-8"?>
<ds:datastoreItem xmlns:ds="http://schemas.openxmlformats.org/officeDocument/2006/customXml" ds:itemID="{1B22C8F9-0F4A-4717-905F-F5A93F32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 aguilera</dc:creator>
  <cp:keywords/>
  <dc:description/>
  <cp:lastModifiedBy>Jesús Alberto García Galván</cp:lastModifiedBy>
  <cp:revision>3</cp:revision>
  <dcterms:created xsi:type="dcterms:W3CDTF">2016-10-21T18:01:00Z</dcterms:created>
  <dcterms:modified xsi:type="dcterms:W3CDTF">2016-10-27T20:25:00Z</dcterms:modified>
</cp:coreProperties>
</file>