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06" w:rsidRPr="00A77706" w:rsidRDefault="00A77706" w:rsidP="00A77706">
      <w:pPr>
        <w:pStyle w:val="Cuerpodeltexto7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7"/>
          <w:rFonts w:ascii="Times New Roman" w:hAnsi="Times New Roman" w:cs="Times New Roman"/>
          <w:bCs/>
          <w:color w:val="000000"/>
          <w:sz w:val="24"/>
          <w:szCs w:val="24"/>
          <w:lang w:eastAsia="es-ES_tradnl"/>
        </w:rPr>
        <w:t>Características de la tesis científica:</w:t>
      </w:r>
    </w:p>
    <w:p w:rsidR="00A77706" w:rsidRPr="00A77706" w:rsidRDefault="00A77706" w:rsidP="00A77706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La primera característica con la que cuenta la tesis científica es que el tema debe de versar sobre un objeto de estudio reconocible por los de</w:t>
      </w: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más. En este contexto el término objeto significa definir las condiciones sobre las cuales se puede hablar con base en una regla que bien pudo ser propuesta por el investigador mismo o por otra persona.</w:t>
      </w:r>
    </w:p>
    <w:p w:rsidR="00A77706" w:rsidRPr="00A77706" w:rsidRDefault="00A77706" w:rsidP="00A77706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La investigación debe ser delimitada sobre qué ha de estudiarse, sobre todo acerca de las cosas que no se han dicho o estudiado del objeto. No debe de despreciarse el trabajo de la divulgación de los temas, ya que éste, análogamente a la revisión, puede ser una tesis de compi</w:t>
      </w: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lación.</w:t>
      </w:r>
    </w:p>
    <w:p w:rsidR="00A77706" w:rsidRPr="00A77706" w:rsidRDefault="00A77706" w:rsidP="00A77706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La utilidad Juega un papel importante porque de no servir a los demás, qué caso tendría hablar acerca de un tema quemo representa interés, aunque es importante mencionar que los trabajos no tienen por qué ser directamente aplicados.</w:t>
      </w:r>
    </w:p>
    <w:p w:rsidR="00A77706" w:rsidRPr="00A77706" w:rsidRDefault="00A77706" w:rsidP="00A77706">
      <w:pPr>
        <w:pStyle w:val="Cuerpodeltexto20"/>
        <w:numPr>
          <w:ilvl w:val="0"/>
          <w:numId w:val="1"/>
        </w:numPr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La verificación y refutación de los resultados es una de las pruebas a las que ha de poder ser sometida la investigación.</w:t>
      </w:r>
    </w:p>
    <w:p w:rsidR="00A77706" w:rsidRPr="00A77706" w:rsidRDefault="00A77706" w:rsidP="00A77706">
      <w:pPr>
        <w:pStyle w:val="Cuerpodeltexto70"/>
        <w:numPr>
          <w:ilvl w:val="0"/>
          <w:numId w:val="1"/>
        </w:numPr>
        <w:shd w:val="clear" w:color="auto" w:fill="auto"/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7"/>
          <w:rFonts w:ascii="Times New Roman" w:hAnsi="Times New Roman" w:cs="Times New Roman"/>
          <w:bCs/>
          <w:color w:val="000000"/>
          <w:sz w:val="24"/>
          <w:szCs w:val="24"/>
          <w:lang w:eastAsia="es-ES_tradnl"/>
        </w:rPr>
        <w:t>De compilación</w:t>
      </w:r>
    </w:p>
    <w:p w:rsidR="00A77706" w:rsidRPr="00A77706" w:rsidRDefault="00A77706" w:rsidP="00A77706">
      <w:pPr>
        <w:pStyle w:val="Cuerpodeltexto20"/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Puede ser científicamente útil, ya que el compilador ha recogido las opi</w:t>
      </w: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niones y contenidos que giran en torno al tema.</w:t>
      </w:r>
    </w:p>
    <w:p w:rsidR="00A77706" w:rsidRPr="00A77706" w:rsidRDefault="00A77706" w:rsidP="00A77706">
      <w:pPr>
        <w:pStyle w:val="Cuerpodeltexto70"/>
        <w:numPr>
          <w:ilvl w:val="0"/>
          <w:numId w:val="2"/>
        </w:numPr>
        <w:shd w:val="clear" w:color="auto" w:fill="auto"/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7"/>
          <w:rFonts w:ascii="Times New Roman" w:hAnsi="Times New Roman" w:cs="Times New Roman"/>
          <w:bCs/>
          <w:color w:val="000000"/>
          <w:sz w:val="24"/>
          <w:szCs w:val="24"/>
          <w:lang w:eastAsia="es-ES_tradnl"/>
        </w:rPr>
        <w:t>Política</w:t>
      </w:r>
    </w:p>
    <w:p w:rsidR="00D2679C" w:rsidRPr="00A77706" w:rsidRDefault="00A77706" w:rsidP="00A77706">
      <w:p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Existe un fenómeno social en el cual la credibilidad del conocimiento generado de una investigación se basa sólo en las disciplinas encontradas  a través del conocimiento científico generado con base en disciplinas puramente científicas, esta posición de sólo dar credibilidad a todo aquello que siga los juicios y criterios científicos se conoce como cientificidad. Sin embargo, pese a que la investigación pueda ser un fenómeno social, la construcción de una cientificidad se pueda dar, es decir, puede tener im</w:t>
      </w: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pacto social, puede ser de interés y puede comprobarse por métodos indi</w:t>
      </w: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 xml:space="preserve">rectos, aunque casi siempre no reproducirse el mismo fenómeno. Alguien podría investigar sobre las características de las pasadas elecciones y encontrar cuáles fueron las condiciones para que hubiera un cambio de poder, para todos es claro que el fenómeno sucedió, pero la reproducción de una </w:t>
      </w:r>
      <w:r w:rsidRPr="00A77706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lastRenderedPageBreak/>
        <w:t>mercadotecnia, como estrategia básica para acceder al poder, en las mismas condiciones es difícil de reproducir.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-1803452969"/>
          <w:citation/>
        </w:sdtPr>
        <w:sdtContent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\l 2058 </w:instrTex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A77706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2011)</w: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bookmarkStart w:id="0" w:name="_GoBack"/>
      <w:bookmarkEnd w:id="0"/>
    </w:p>
    <w:sectPr w:rsidR="00D2679C" w:rsidRPr="00A77706" w:rsidSect="00A7770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973"/>
    <w:multiLevelType w:val="hybridMultilevel"/>
    <w:tmpl w:val="40AEDF0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3C18201D"/>
    <w:multiLevelType w:val="hybridMultilevel"/>
    <w:tmpl w:val="53C2C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06"/>
    <w:rsid w:val="00A77706"/>
    <w:rsid w:val="00D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A77706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A77706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character" w:customStyle="1" w:styleId="Cuerpodeltexto7">
    <w:name w:val="Cuerpo del texto (7)_"/>
    <w:basedOn w:val="Fuentedeprrafopredeter"/>
    <w:link w:val="Cuerpodeltexto70"/>
    <w:uiPriority w:val="99"/>
    <w:rsid w:val="00A77706"/>
    <w:rPr>
      <w:rFonts w:ascii="Tahoma" w:hAnsi="Tahoma" w:cs="Tahoma"/>
      <w:b/>
      <w:bCs/>
      <w:sz w:val="16"/>
      <w:szCs w:val="16"/>
      <w:shd w:val="clear" w:color="auto" w:fill="FFFFFF"/>
    </w:rPr>
  </w:style>
  <w:style w:type="paragraph" w:customStyle="1" w:styleId="Cuerpodeltexto70">
    <w:name w:val="Cuerpo del texto (7)"/>
    <w:basedOn w:val="Normal"/>
    <w:link w:val="Cuerpodeltexto7"/>
    <w:uiPriority w:val="99"/>
    <w:rsid w:val="00A77706"/>
    <w:pPr>
      <w:widowControl w:val="0"/>
      <w:shd w:val="clear" w:color="auto" w:fill="FFFFFF"/>
      <w:spacing w:after="0" w:line="240" w:lineRule="atLeast"/>
      <w:jc w:val="both"/>
    </w:pPr>
    <w:rPr>
      <w:rFonts w:ascii="Tahoma" w:hAnsi="Tahoma" w:cs="Tahoma"/>
      <w:b/>
      <w:bCs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A77706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A77706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character" w:customStyle="1" w:styleId="Cuerpodeltexto7">
    <w:name w:val="Cuerpo del texto (7)_"/>
    <w:basedOn w:val="Fuentedeprrafopredeter"/>
    <w:link w:val="Cuerpodeltexto70"/>
    <w:uiPriority w:val="99"/>
    <w:rsid w:val="00A77706"/>
    <w:rPr>
      <w:rFonts w:ascii="Tahoma" w:hAnsi="Tahoma" w:cs="Tahoma"/>
      <w:b/>
      <w:bCs/>
      <w:sz w:val="16"/>
      <w:szCs w:val="16"/>
      <w:shd w:val="clear" w:color="auto" w:fill="FFFFFF"/>
    </w:rPr>
  </w:style>
  <w:style w:type="paragraph" w:customStyle="1" w:styleId="Cuerpodeltexto70">
    <w:name w:val="Cuerpo del texto (7)"/>
    <w:basedOn w:val="Normal"/>
    <w:link w:val="Cuerpodeltexto7"/>
    <w:uiPriority w:val="99"/>
    <w:rsid w:val="00A77706"/>
    <w:pPr>
      <w:widowControl w:val="0"/>
      <w:shd w:val="clear" w:color="auto" w:fill="FFFFFF"/>
      <w:spacing w:after="0" w:line="240" w:lineRule="atLeast"/>
      <w:jc w:val="both"/>
    </w:pPr>
    <w:rPr>
      <w:rFonts w:ascii="Tahoma" w:hAnsi="Tahoma" w:cs="Tahoma"/>
      <w:b/>
      <w:bCs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{E3534122-10EC-48C4-8637-BE69A93299CC}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0E3DAED0-7485-4D72-9256-A7BE1CC7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LAB04-PC26</dc:creator>
  <cp:lastModifiedBy>LAB04-PC26</cp:lastModifiedBy>
  <cp:revision>1</cp:revision>
  <dcterms:created xsi:type="dcterms:W3CDTF">2016-10-25T22:32:00Z</dcterms:created>
  <dcterms:modified xsi:type="dcterms:W3CDTF">2016-10-25T22:36:00Z</dcterms:modified>
</cp:coreProperties>
</file>