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"/>
        <w:tblW w:w="9990" w:type="dxa"/>
        <w:tblLook w:val="04A0" w:firstRow="1" w:lastRow="0" w:firstColumn="1" w:lastColumn="0" w:noHBand="0" w:noVBand="1"/>
      </w:tblPr>
      <w:tblGrid>
        <w:gridCol w:w="2209"/>
        <w:gridCol w:w="1807"/>
        <w:gridCol w:w="2008"/>
        <w:gridCol w:w="3966"/>
      </w:tblGrid>
      <w:tr w:rsidR="008F1248" w:rsidRPr="008F1248" w:rsidTr="008F1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Drug  </w:t>
            </w:r>
          </w:p>
        </w:tc>
        <w:tc>
          <w:tcPr>
            <w:tcW w:w="1807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Onset of action  </w:t>
            </w:r>
          </w:p>
        </w:tc>
        <w:tc>
          <w:tcPr>
            <w:tcW w:w="2008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Segoe UI"/>
              </w:rPr>
            </w:pPr>
            <w:r w:rsidRPr="008F1248">
              <w:rPr>
                <w:rFonts w:ascii="Calibri" w:eastAsia="Times New Roman" w:hAnsi="Calibri" w:cs="Segoe UI"/>
              </w:rPr>
              <w:t>Duration</w:t>
            </w:r>
            <w:r>
              <w:rPr>
                <w:rFonts w:ascii="Calibri" w:eastAsia="Times New Roman" w:hAnsi="Calibri" w:cs="Segoe UI"/>
                <w:b w:val="0"/>
                <w:bCs w:val="0"/>
              </w:rPr>
              <w:t xml:space="preserve"> </w:t>
            </w:r>
            <w:r w:rsidRPr="008F1248">
              <w:rPr>
                <w:rFonts w:ascii="Calibri" w:eastAsia="Times New Roman" w:hAnsi="Calibri" w:cs="Segoe UI"/>
              </w:rPr>
              <w:t>of action  </w:t>
            </w:r>
          </w:p>
        </w:tc>
        <w:tc>
          <w:tcPr>
            <w:tcW w:w="3966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Contraindications  </w:t>
            </w:r>
          </w:p>
        </w:tc>
      </w:tr>
      <w:tr w:rsidR="008F1248" w:rsidRPr="008F1248" w:rsidTr="008F1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2% lidocaine </w:t>
            </w:r>
          </w:p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Toxic dose8mg/kg </w:t>
            </w:r>
          </w:p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807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Rapid with maximum effect at 15-25 minutes </w:t>
            </w:r>
          </w:p>
        </w:tc>
        <w:tc>
          <w:tcPr>
            <w:tcW w:w="2008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30-45 min </w:t>
            </w:r>
          </w:p>
        </w:tc>
        <w:tc>
          <w:tcPr>
            <w:tcW w:w="3966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Toxic effects are usually related to central nervous system effects. Excitability, muscle tremors, and convulsions have been noted. Weakness and recumbency occur, but quickly disappear after discontinuation of the infusion. </w:t>
            </w:r>
          </w:p>
        </w:tc>
      </w:tr>
      <w:tr w:rsidR="008F1248" w:rsidRPr="008F1248" w:rsidTr="008F1248">
        <w:trPr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2% mepivacaine Toxic dose &gt;400mg/kg within 24 hours </w:t>
            </w:r>
          </w:p>
        </w:tc>
        <w:tc>
          <w:tcPr>
            <w:tcW w:w="1807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Rapid with maximum effect at 12-20 minutes </w:t>
            </w:r>
          </w:p>
        </w:tc>
        <w:tc>
          <w:tcPr>
            <w:tcW w:w="2008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90-120 minutes </w:t>
            </w:r>
          </w:p>
        </w:tc>
        <w:tc>
          <w:tcPr>
            <w:tcW w:w="3966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Cannot be used in food horses, can cause weak or shallow breathing, tremors, muscle twitching or convulsions </w:t>
            </w:r>
          </w:p>
        </w:tc>
      </w:tr>
      <w:tr w:rsidR="008F1248" w:rsidRPr="008F1248" w:rsidTr="008F1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0.5% bupivacaine </w:t>
            </w:r>
          </w:p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Toxic dose 5.5mg/kg </w:t>
            </w:r>
          </w:p>
          <w:p w:rsidR="008F1248" w:rsidRPr="008F1248" w:rsidRDefault="008F1248" w:rsidP="008F1248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807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Rapid with maximum effect at 15 minutes </w:t>
            </w:r>
          </w:p>
        </w:tc>
        <w:tc>
          <w:tcPr>
            <w:tcW w:w="2008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4-6 hours </w:t>
            </w:r>
          </w:p>
        </w:tc>
        <w:tc>
          <w:tcPr>
            <w:tcW w:w="3966" w:type="dxa"/>
            <w:hideMark/>
          </w:tcPr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Severe hemorrhage, </w:t>
            </w:r>
          </w:p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Times New Roman" w:eastAsia="Times New Roman" w:hAnsi="Times New Roman" w:cs="Times New Roman"/>
              </w:rPr>
              <w:t>severe hypotension or shock and arrhythmias, such as complete heart block, which severely restrict cardiac output.Chondrocyte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48">
              <w:rPr>
                <w:rFonts w:ascii="Times New Roman" w:eastAsia="Times New Roman" w:hAnsi="Times New Roman" w:cs="Times New Roman"/>
              </w:rPr>
              <w:t>toxicity  </w:t>
            </w:r>
          </w:p>
          <w:p w:rsidR="008F1248" w:rsidRPr="008F1248" w:rsidRDefault="008F1248" w:rsidP="008F1248">
            <w:pPr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</w:p>
        </w:tc>
      </w:tr>
    </w:tbl>
    <w:p w:rsidR="008F1248" w:rsidRDefault="008F1248"/>
    <w:p w:rsidR="008F1248" w:rsidRDefault="008F1248"/>
    <w:p w:rsidR="008F1248" w:rsidRDefault="008F1248" w:rsidP="008F12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Lameness tests are done 3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minutes after injection of analgesia, then every 3 minutes after up to 15 minutes to ensure maximum effect of analgesia is achieved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F1248" w:rsidRDefault="008F1248" w:rsidP="008F12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F1248" w:rsidRDefault="008F1248" w:rsidP="008F12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If horses are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uncompliant,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sedatives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can be used. These include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F1248" w:rsidRDefault="008F1248"/>
    <w:tbl>
      <w:tblPr>
        <w:tblW w:w="8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"/>
        <w:gridCol w:w="2873"/>
        <w:gridCol w:w="7"/>
        <w:gridCol w:w="3735"/>
      </w:tblGrid>
      <w:tr w:rsidR="008F1248" w:rsidRPr="008F1248" w:rsidTr="008F1248">
        <w:trPr>
          <w:trHeight w:val="295"/>
        </w:trPr>
        <w:tc>
          <w:tcPr>
            <w:tcW w:w="2242" w:type="dxa"/>
            <w:gridSpan w:val="2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Drug  </w:t>
            </w:r>
          </w:p>
        </w:tc>
        <w:tc>
          <w:tcPr>
            <w:tcW w:w="2880" w:type="dxa"/>
            <w:gridSpan w:val="2"/>
            <w:tcBorders>
              <w:top w:val="single" w:sz="6" w:space="0" w:color="999999"/>
              <w:left w:val="outset" w:sz="6" w:space="0" w:color="auto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 </w:t>
            </w:r>
            <w:r>
              <w:rPr>
                <w:rFonts w:ascii="Calibri" w:eastAsia="Times New Roman" w:hAnsi="Calibri" w:cs="Segoe UI"/>
                <w:b/>
                <w:bCs/>
              </w:rPr>
              <w:t xml:space="preserve">Dose </w:t>
            </w:r>
          </w:p>
        </w:tc>
        <w:tc>
          <w:tcPr>
            <w:tcW w:w="3735" w:type="dxa"/>
            <w:tcBorders>
              <w:top w:val="single" w:sz="6" w:space="0" w:color="999999"/>
              <w:left w:val="outset" w:sz="6" w:space="0" w:color="auto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contraindications </w:t>
            </w:r>
          </w:p>
        </w:tc>
      </w:tr>
      <w:tr w:rsidR="008F1248" w:rsidRPr="008F1248" w:rsidTr="008F1248">
        <w:trPr>
          <w:trHeight w:val="1493"/>
        </w:trPr>
        <w:tc>
          <w:tcPr>
            <w:tcW w:w="2242" w:type="dxa"/>
            <w:gridSpan w:val="2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Xylazine 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  <w:r w:rsidRPr="008F1248">
              <w:rPr>
                <w:rFonts w:ascii="Calibri" w:eastAsia="Times New Roman" w:hAnsi="Calibri" w:cs="Segoe UI"/>
                <w:b/>
                <w:bCs/>
              </w:rPr>
              <w:t>0.2mg/kg 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Given IV 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Default="008F1248" w:rsidP="008F1248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Helvetica" w:hAnsi="Helvetica"/>
                <w:color w:val="474747"/>
              </w:rPr>
            </w:pPr>
            <w:r w:rsidRPr="008F1248">
              <w:rPr>
                <w:rFonts w:ascii="Calibri" w:hAnsi="Calibri" w:cs="Segoe UI"/>
              </w:rPr>
              <w:t> </w:t>
            </w:r>
            <w:r>
              <w:rPr>
                <w:rFonts w:ascii="Helvetica" w:hAnsi="Helvetica"/>
                <w:color w:val="474747"/>
              </w:rPr>
              <w:t xml:space="preserve">Can </w:t>
            </w:r>
            <w:r>
              <w:rPr>
                <w:rFonts w:ascii="Helvetica" w:hAnsi="Helvetica"/>
                <w:color w:val="474747"/>
              </w:rPr>
              <w:t>cause slight muscle tremors, bradycardia with partial A-V heart block and a reduced respiratory rate. Movement in response to sharp auditory stimuli may be observed. sweating, rarely profuse, has been reported following administration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</w:tr>
      <w:tr w:rsidR="008F1248" w:rsidRPr="008F1248" w:rsidTr="008F1248">
        <w:trPr>
          <w:trHeight w:val="1493"/>
        </w:trPr>
        <w:tc>
          <w:tcPr>
            <w:tcW w:w="2242" w:type="dxa"/>
            <w:gridSpan w:val="2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Detomidine  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  <w:r w:rsidRPr="008F1248">
              <w:rPr>
                <w:rFonts w:ascii="Calibri" w:eastAsia="Times New Roman" w:hAnsi="Calibri" w:cs="Segoe UI"/>
                <w:b/>
                <w:bCs/>
              </w:rPr>
              <w:t>10mcg/kg 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Given IV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Default="008F1248" w:rsidP="008F1248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Helvetica" w:hAnsi="Helvetica"/>
                <w:color w:val="474747"/>
              </w:rPr>
            </w:pPr>
            <w:r w:rsidRPr="008F1248">
              <w:rPr>
                <w:rFonts w:ascii="Calibri" w:hAnsi="Calibri" w:cs="Segoe UI"/>
              </w:rPr>
              <w:t> </w:t>
            </w:r>
            <w:r>
              <w:rPr>
                <w:rStyle w:val="apple-converted-space"/>
                <w:rFonts w:ascii="Helvetica" w:hAnsi="Helvetica"/>
                <w:color w:val="474747"/>
              </w:rPr>
              <w:t> </w:t>
            </w:r>
            <w:r>
              <w:rPr>
                <w:rFonts w:ascii="Helvetica" w:hAnsi="Helvetica"/>
                <w:color w:val="474747"/>
              </w:rPr>
              <w:t xml:space="preserve">should not be used in horses with pre-existing AV or SA block, with severe coronary insufficiency, cerebrovascular disease, respiratory disease, or chronic renal failure. Intravenous potentiated sulfonamides should </w:t>
            </w:r>
            <w:r>
              <w:rPr>
                <w:rFonts w:ascii="Helvetica" w:hAnsi="Helvetica"/>
                <w:color w:val="474747"/>
              </w:rPr>
              <w:lastRenderedPageBreak/>
              <w:t>not be used in anesthetized or sedated horses as potentially fatal dysrhythmias may occur.</w:t>
            </w:r>
          </w:p>
          <w:p w:rsidR="008F1248" w:rsidRDefault="008F1248" w:rsidP="008F1248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Helvetica" w:hAnsi="Helvetica"/>
                <w:color w:val="474747"/>
              </w:rPr>
            </w:pPr>
            <w:r>
              <w:rPr>
                <w:rFonts w:ascii="Helvetica" w:hAnsi="Helvetica"/>
                <w:color w:val="474747"/>
              </w:rPr>
              <w:t>Information on the possible effects of detomidine hydrochloride in breeding horses is limited to uncontrolled clinical reports; therefore, this drug is not recommended for use in breeding animal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</w:tr>
      <w:tr w:rsidR="008F1248" w:rsidRPr="008F1248" w:rsidTr="008F1248">
        <w:trPr>
          <w:trHeight w:val="295"/>
        </w:trPr>
        <w:tc>
          <w:tcPr>
            <w:tcW w:w="2242" w:type="dxa"/>
            <w:gridSpan w:val="2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lastRenderedPageBreak/>
              <w:t>Acepromozine 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  <w:r w:rsidRPr="008F1248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0.05 mg/kg or 0.125 ml/50 kg I.V.</w:t>
            </w:r>
          </w:p>
          <w:p w:rsidR="008F1248" w:rsidRPr="008F1248" w:rsidRDefault="008F1248" w:rsidP="008F12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8F1248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0.05 - 0.1 mg/kg or 0.125 - 0.25 ml/50 kg b.w. I.M.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Cardiac disease, hypovolemia, hypotension or shock. Coagulopathies or thrombocytopenia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Acepromazine has no analgesic effect and, therefore, is less likely to ameliorate lameness than is a sedative</w:t>
            </w:r>
          </w:p>
        </w:tc>
      </w:tr>
      <w:tr w:rsidR="008F1248" w:rsidRPr="008F1248" w:rsidTr="008F1248">
        <w:trPr>
          <w:trHeight w:val="885"/>
        </w:trPr>
        <w:tc>
          <w:tcPr>
            <w:tcW w:w="2242" w:type="dxa"/>
            <w:gridSpan w:val="2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008F1248">
              <w:rPr>
                <w:rFonts w:ascii="Calibri" w:eastAsia="Times New Roman" w:hAnsi="Calibri" w:cs="Segoe UI"/>
                <w:b/>
                <w:bCs/>
              </w:rPr>
              <w:t> </w:t>
            </w:r>
            <w:r>
              <w:rPr>
                <w:rFonts w:ascii="Calibri" w:eastAsia="Times New Roman" w:hAnsi="Calibri" w:cs="Segoe UI"/>
                <w:b/>
                <w:bCs/>
              </w:rPr>
              <w:t xml:space="preserve">Tolazoline </w:t>
            </w:r>
          </w:p>
          <w:p w:rsidR="008F1248" w:rsidRPr="008F1248" w:rsidRDefault="008F1248" w:rsidP="008F12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8F1248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Reverses the effects of sedation and analgesia induced by Xylazine in horses</w:t>
            </w:r>
          </w:p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  <w:r w:rsidRPr="00F2292D">
              <w:rPr>
                <w:sz w:val="20"/>
                <w:szCs w:val="20"/>
                <w:u w:val="single"/>
              </w:rPr>
              <w:t>Horses:</w:t>
            </w:r>
            <w:r>
              <w:rPr>
                <w:sz w:val="20"/>
                <w:szCs w:val="20"/>
              </w:rPr>
              <w:t xml:space="preserve"> 4mg/kg or 1 ml/25kg IV to reverse Xylazine effects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8F1248" w:rsidRPr="008F1248" w:rsidRDefault="008F1248" w:rsidP="008F12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8F1248">
              <w:rPr>
                <w:rFonts w:ascii="Calibri" w:eastAsia="Times New Roman" w:hAnsi="Calibri" w:cs="Segoe UI"/>
              </w:rPr>
              <w:t> </w:t>
            </w:r>
            <w:r w:rsidRPr="0078344F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Stressed, debilitated, cardiac disease, sympathetic blockage, hypo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volemia or shock. Hypersensitiv</w:t>
            </w:r>
            <w:r w:rsidRPr="0078344F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ity</w:t>
            </w:r>
          </w:p>
        </w:tc>
      </w:tr>
      <w:tr w:rsidR="008F1248" w:rsidTr="008F124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35" w:type="dxa"/>
            <w:tcBorders>
              <w:right w:val="single" w:sz="4" w:space="0" w:color="auto"/>
            </w:tcBorders>
          </w:tcPr>
          <w:p w:rsidR="008F1248" w:rsidRDefault="008F1248" w:rsidP="008F1248">
            <w:r>
              <w:t xml:space="preserve">Atropine </w:t>
            </w:r>
          </w:p>
          <w:p w:rsidR="008F1248" w:rsidRDefault="008F1248" w:rsidP="008F1248">
            <w:r>
              <w:rPr>
                <w:sz w:val="20"/>
                <w:szCs w:val="20"/>
              </w:rPr>
              <w:t>Antidote for Cholinergic drug overdoses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F1248" w:rsidRPr="008F1248" w:rsidRDefault="008F1248" w:rsidP="008F1248">
            <w:pPr>
              <w:rPr>
                <w:rFonts w:eastAsia="Times New Roman" w:cs="Times New Roman"/>
                <w:sz w:val="20"/>
                <w:szCs w:val="20"/>
                <w:lang w:val="en-CA"/>
              </w:rPr>
            </w:pPr>
            <w:r w:rsidRPr="008F1248">
              <w:rPr>
                <w:rFonts w:eastAsia="Times New Roman" w:cs="Times New Roman"/>
                <w:sz w:val="20"/>
                <w:szCs w:val="20"/>
                <w:lang w:val="en-CA"/>
              </w:rPr>
              <w:t>Bradyarrhythmias:   0.01 -0.02mg/kg IV.</w:t>
            </w:r>
          </w:p>
          <w:p w:rsidR="008F1248" w:rsidRPr="008F1248" w:rsidRDefault="008F1248" w:rsidP="008F1248">
            <w:pPr>
              <w:rPr>
                <w:rFonts w:eastAsia="Times New Roman" w:cs="Times New Roman"/>
                <w:sz w:val="20"/>
                <w:szCs w:val="20"/>
                <w:lang w:val="en-CA"/>
              </w:rPr>
            </w:pPr>
            <w:r w:rsidRPr="008F1248">
              <w:rPr>
                <w:rFonts w:eastAsia="Times New Roman" w:cs="Times New Roman"/>
                <w:sz w:val="20"/>
                <w:szCs w:val="20"/>
                <w:lang w:val="en-CA"/>
              </w:rPr>
              <w:t>Bronchodilator:    5mg/450kg IV</w:t>
            </w:r>
          </w:p>
          <w:p w:rsidR="008F1248" w:rsidRDefault="008F1248" w:rsidP="008F1248"/>
        </w:tc>
        <w:tc>
          <w:tcPr>
            <w:tcW w:w="3742" w:type="dxa"/>
            <w:gridSpan w:val="2"/>
            <w:tcBorders>
              <w:left w:val="single" w:sz="4" w:space="0" w:color="auto"/>
            </w:tcBorders>
          </w:tcPr>
          <w:p w:rsidR="008F1248" w:rsidRDefault="008F1248" w:rsidP="008F1248">
            <w:r>
              <w:rPr>
                <w:sz w:val="20"/>
                <w:szCs w:val="20"/>
              </w:rPr>
              <w:t>Hypersensitive patients. Patients that have myasthenia gravis</w:t>
            </w:r>
            <w:bookmarkStart w:id="0" w:name="_GoBack"/>
            <w:bookmarkEnd w:id="0"/>
          </w:p>
        </w:tc>
      </w:tr>
    </w:tbl>
    <w:p w:rsidR="008F1248" w:rsidRDefault="008F1248"/>
    <w:sectPr w:rsidR="008F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B9" w:rsidRDefault="00DF2EB9" w:rsidP="008F1248">
      <w:pPr>
        <w:spacing w:after="0" w:line="240" w:lineRule="auto"/>
      </w:pPr>
      <w:r>
        <w:separator/>
      </w:r>
    </w:p>
  </w:endnote>
  <w:endnote w:type="continuationSeparator" w:id="0">
    <w:p w:rsidR="00DF2EB9" w:rsidRDefault="00DF2EB9" w:rsidP="008F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B9" w:rsidRDefault="00DF2EB9" w:rsidP="008F1248">
      <w:pPr>
        <w:spacing w:after="0" w:line="240" w:lineRule="auto"/>
      </w:pPr>
      <w:r>
        <w:separator/>
      </w:r>
    </w:p>
  </w:footnote>
  <w:footnote w:type="continuationSeparator" w:id="0">
    <w:p w:rsidR="00DF2EB9" w:rsidRDefault="00DF2EB9" w:rsidP="008F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48"/>
    <w:rsid w:val="008F1248"/>
    <w:rsid w:val="00D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6E6A"/>
  <w15:chartTrackingRefBased/>
  <w15:docId w15:val="{2B068C1E-B3AB-4A87-99D3-7B65863E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1248"/>
  </w:style>
  <w:style w:type="character" w:customStyle="1" w:styleId="eop">
    <w:name w:val="eop"/>
    <w:basedOn w:val="DefaultParagraphFont"/>
    <w:rsid w:val="008F1248"/>
  </w:style>
  <w:style w:type="character" w:customStyle="1" w:styleId="spellingerror">
    <w:name w:val="spellingerror"/>
    <w:basedOn w:val="DefaultParagraphFont"/>
    <w:rsid w:val="008F1248"/>
  </w:style>
  <w:style w:type="paragraph" w:styleId="Header">
    <w:name w:val="header"/>
    <w:basedOn w:val="Normal"/>
    <w:link w:val="HeaderChar"/>
    <w:uiPriority w:val="99"/>
    <w:unhideWhenUsed/>
    <w:rsid w:val="008F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48"/>
  </w:style>
  <w:style w:type="paragraph" w:styleId="Footer">
    <w:name w:val="footer"/>
    <w:basedOn w:val="Normal"/>
    <w:link w:val="FooterChar"/>
    <w:uiPriority w:val="99"/>
    <w:unhideWhenUsed/>
    <w:rsid w:val="008F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48"/>
  </w:style>
  <w:style w:type="table" w:styleId="GridTable2">
    <w:name w:val="Grid Table 2"/>
    <w:basedOn w:val="TableNormal"/>
    <w:uiPriority w:val="47"/>
    <w:rsid w:val="008F124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DefaultParagraphFont"/>
    <w:rsid w:val="008F1248"/>
  </w:style>
  <w:style w:type="paragraph" w:styleId="NormalWeb">
    <w:name w:val="Normal (Web)"/>
    <w:basedOn w:val="Normal"/>
    <w:uiPriority w:val="99"/>
    <w:semiHidden/>
    <w:unhideWhenUsed/>
    <w:rsid w:val="008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2016-10-02T02:09:00Z</dcterms:created>
  <dcterms:modified xsi:type="dcterms:W3CDTF">2016-10-02T02:28:00Z</dcterms:modified>
</cp:coreProperties>
</file>