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4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666"/>
        <w:gridCol w:w="2718"/>
      </w:tblGrid>
      <w:tr w:rsidR="00AA5287" w:rsidTr="00965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A5287" w:rsidRDefault="005C1F95" w:rsidP="00562C08">
            <w:pPr>
              <w:jc w:val="center"/>
            </w:pPr>
            <w:r>
              <w:t>Drug</w:t>
            </w:r>
            <w:r w:rsidR="000A57F1">
              <w:t xml:space="preserve"> Used</w:t>
            </w:r>
          </w:p>
        </w:tc>
        <w:tc>
          <w:tcPr>
            <w:tcW w:w="3666" w:type="dxa"/>
          </w:tcPr>
          <w:p w:rsidR="00AA5287" w:rsidRDefault="005C1F95" w:rsidP="00562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  <w:tc>
          <w:tcPr>
            <w:tcW w:w="2718" w:type="dxa"/>
          </w:tcPr>
          <w:p w:rsidR="00AA5287" w:rsidRDefault="005C1F95" w:rsidP="00562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Calculations</w:t>
            </w:r>
          </w:p>
        </w:tc>
      </w:tr>
      <w:tr w:rsidR="00AA5287" w:rsidTr="00965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8064A2" w:themeColor="accent4"/>
              <w:bottom w:val="single" w:sz="4" w:space="0" w:color="auto"/>
            </w:tcBorders>
          </w:tcPr>
          <w:p w:rsidR="00AA5287" w:rsidRPr="00E076A4" w:rsidRDefault="005C1F95">
            <w:pPr>
              <w:rPr>
                <w:b w:val="0"/>
              </w:rPr>
            </w:pPr>
            <w:r>
              <w:t>Banamine (</w:t>
            </w:r>
            <w:proofErr w:type="spellStart"/>
            <w:r>
              <w:t>Flunixin</w:t>
            </w:r>
            <w:proofErr w:type="spellEnd"/>
            <w:r>
              <w:t xml:space="preserve"> </w:t>
            </w:r>
            <w:proofErr w:type="spellStart"/>
            <w:r>
              <w:t>Meglumine</w:t>
            </w:r>
            <w:proofErr w:type="spellEnd"/>
            <w:r>
              <w:t xml:space="preserve">) </w:t>
            </w:r>
            <w:r w:rsidR="00501DD6">
              <w:t>–</w:t>
            </w:r>
            <w:r>
              <w:t xml:space="preserve"> </w:t>
            </w:r>
            <w:r w:rsidRPr="00E076A4">
              <w:rPr>
                <w:b w:val="0"/>
                <w:color w:val="FF0000"/>
              </w:rPr>
              <w:t>NSAID</w:t>
            </w:r>
          </w:p>
          <w:p w:rsidR="00501DD6" w:rsidRDefault="00501DD6"/>
          <w:p w:rsidR="00501DD6" w:rsidRPr="00727CEF" w:rsidRDefault="00501DD6" w:rsidP="00501DD6">
            <w:pPr>
              <w:jc w:val="center"/>
              <w:rPr>
                <w:i/>
              </w:rPr>
            </w:pPr>
            <w:r w:rsidRPr="00727CEF">
              <w:rPr>
                <w:i/>
              </w:rPr>
              <w:t>Given at 2:15 p.m.</w:t>
            </w:r>
          </w:p>
          <w:p w:rsidR="00501DD6" w:rsidRDefault="00501DD6"/>
        </w:tc>
        <w:tc>
          <w:tcPr>
            <w:tcW w:w="3666" w:type="dxa"/>
            <w:tcBorders>
              <w:top w:val="single" w:sz="8" w:space="0" w:color="8064A2" w:themeColor="accent4"/>
              <w:bottom w:val="single" w:sz="4" w:space="0" w:color="auto"/>
            </w:tcBorders>
          </w:tcPr>
          <w:p w:rsidR="00AA5287" w:rsidRDefault="00562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Administered </w:t>
            </w:r>
            <w:r w:rsidR="00BA41B3">
              <w:t xml:space="preserve">IV </w:t>
            </w:r>
            <w:r>
              <w:t>for pain control/relief</w:t>
            </w:r>
            <w:r w:rsidR="00DB67D2">
              <w:t>.</w:t>
            </w:r>
          </w:p>
          <w:p w:rsidR="00BA41B3" w:rsidRPr="008E46DC" w:rsidRDefault="00BA41B3" w:rsidP="00BA41B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E46DC">
              <w:rPr>
                <w:i/>
              </w:rPr>
              <w:t>Total dose should not exceed 2.2 mg/kg</w:t>
            </w:r>
          </w:p>
          <w:p w:rsidR="00BA41B3" w:rsidRPr="008E46DC" w:rsidRDefault="00BA41B3" w:rsidP="00BA41B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E46DC">
              <w:rPr>
                <w:i/>
              </w:rPr>
              <w:t xml:space="preserve">Should not be used in bulls intended for breeding as </w:t>
            </w:r>
            <w:r w:rsidR="008E46DC" w:rsidRPr="008E46DC">
              <w:rPr>
                <w:i/>
              </w:rPr>
              <w:t>the effects in these animals has</w:t>
            </w:r>
            <w:r w:rsidRPr="008E46DC">
              <w:rPr>
                <w:i/>
              </w:rPr>
              <w:t xml:space="preserve"> not been investigated.</w:t>
            </w:r>
          </w:p>
          <w:p w:rsidR="008E46DC" w:rsidRPr="008E46DC" w:rsidRDefault="008E46DC" w:rsidP="00BA41B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Withdrawal</w:t>
            </w:r>
            <w:r w:rsidR="00DB67D2">
              <w:rPr>
                <w:i/>
              </w:rPr>
              <w:t xml:space="preserve"> period</w:t>
            </w:r>
            <w:r>
              <w:rPr>
                <w:i/>
              </w:rPr>
              <w:t>: Meat (4</w:t>
            </w:r>
            <w:r w:rsidRPr="008E46DC">
              <w:rPr>
                <w:i/>
              </w:rPr>
              <w:t xml:space="preserve"> days), Milk (36 hours)</w:t>
            </w:r>
          </w:p>
          <w:p w:rsidR="008E46DC" w:rsidRDefault="008E46DC" w:rsidP="00BA41B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46DC">
              <w:rPr>
                <w:i/>
              </w:rPr>
              <w:t>This drug is not licensed to be used for dehorning – only Meloxicam is.</w:t>
            </w:r>
          </w:p>
        </w:tc>
        <w:tc>
          <w:tcPr>
            <w:tcW w:w="2718" w:type="dxa"/>
            <w:tcBorders>
              <w:top w:val="single" w:sz="8" w:space="0" w:color="8064A2" w:themeColor="accent4"/>
              <w:bottom w:val="single" w:sz="4" w:space="0" w:color="auto"/>
            </w:tcBorders>
            <w:vAlign w:val="center"/>
          </w:tcPr>
          <w:p w:rsidR="00AA5287" w:rsidRDefault="007C1D27" w:rsidP="00C0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1.1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</w:rPr>
                        <m:t>mg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</w:rPr>
                        <m:t>kg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</w:rPr>
                    <m:t>×90 kg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50 mg/ml</m:t>
                  </m:r>
                </m:den>
              </m:f>
            </m:oMath>
            <w:r w:rsidR="00BA41B3">
              <w:rPr>
                <w:rFonts w:eastAsiaTheme="minorEastAsia"/>
              </w:rPr>
              <w:t xml:space="preserve"> = </w:t>
            </w:r>
            <w:r w:rsidR="00BA41B3" w:rsidRPr="00BA41B3">
              <w:rPr>
                <w:rFonts w:eastAsiaTheme="minorEastAsia"/>
                <w:i/>
              </w:rPr>
              <w:t>1.98 ml</w:t>
            </w:r>
          </w:p>
          <w:p w:rsidR="00501DD6" w:rsidRDefault="00501DD6" w:rsidP="00C0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</w:rPr>
            </w:pPr>
          </w:p>
          <w:p w:rsidR="00501DD6" w:rsidRDefault="00501DD6" w:rsidP="00C0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5287" w:rsidTr="00965E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4" w:space="0" w:color="auto"/>
              <w:bottom w:val="single" w:sz="8" w:space="0" w:color="auto"/>
            </w:tcBorders>
          </w:tcPr>
          <w:p w:rsidR="00AA5287" w:rsidRDefault="00DB67D2">
            <w:r>
              <w:t>Penicillin-Streptomycin (Antibiotic)</w:t>
            </w:r>
          </w:p>
          <w:p w:rsidR="00501DD6" w:rsidRDefault="00501DD6"/>
          <w:p w:rsidR="00501DD6" w:rsidRPr="00727CEF" w:rsidRDefault="00501DD6" w:rsidP="00501DD6">
            <w:pPr>
              <w:jc w:val="center"/>
              <w:rPr>
                <w:i/>
              </w:rPr>
            </w:pPr>
            <w:r w:rsidRPr="00727CEF">
              <w:rPr>
                <w:i/>
              </w:rPr>
              <w:t>Given at 2:27 p.m.</w:t>
            </w:r>
          </w:p>
        </w:tc>
        <w:tc>
          <w:tcPr>
            <w:tcW w:w="3666" w:type="dxa"/>
            <w:tcBorders>
              <w:top w:val="single" w:sz="4" w:space="0" w:color="auto"/>
              <w:bottom w:val="single" w:sz="8" w:space="0" w:color="auto"/>
            </w:tcBorders>
          </w:tcPr>
          <w:p w:rsidR="00AA5287" w:rsidRDefault="00DB6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Administered </w:t>
            </w:r>
            <w:r w:rsidR="00476F83">
              <w:t xml:space="preserve">IM </w:t>
            </w:r>
            <w:r>
              <w:t>for preoperative antibiotic prophylaxis as this combination drug provides broad spectrum activity.</w:t>
            </w:r>
          </w:p>
          <w:p w:rsidR="00DB67D2" w:rsidRPr="00133AFE" w:rsidRDefault="00DB67D2" w:rsidP="00DB67D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33AFE">
              <w:rPr>
                <w:i/>
              </w:rPr>
              <w:t xml:space="preserve">Withdrawal period: </w:t>
            </w:r>
            <w:r w:rsidR="00476F83" w:rsidRPr="00133AFE">
              <w:rPr>
                <w:i/>
              </w:rPr>
              <w:t>Meat (21</w:t>
            </w:r>
            <w:r w:rsidRPr="00133AFE">
              <w:rPr>
                <w:i/>
              </w:rPr>
              <w:t xml:space="preserve"> days);</w:t>
            </w:r>
            <w:r w:rsidR="00476F83" w:rsidRPr="00133AFE">
              <w:rPr>
                <w:i/>
              </w:rPr>
              <w:t xml:space="preserve"> Milk (3 days</w:t>
            </w:r>
            <w:r w:rsidRPr="00133AFE">
              <w:rPr>
                <w:i/>
              </w:rPr>
              <w:t>)</w:t>
            </w:r>
          </w:p>
          <w:p w:rsidR="00DB67D2" w:rsidRPr="00D063B4" w:rsidRDefault="00133AFE" w:rsidP="00DB67D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AFE">
              <w:rPr>
                <w:i/>
              </w:rPr>
              <w:t>Should not exceed 6 ml per injection site in cattle.</w:t>
            </w:r>
          </w:p>
          <w:p w:rsidR="00D063B4" w:rsidRDefault="00D063B4" w:rsidP="00D0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063B4" w:rsidRPr="00C05B19" w:rsidRDefault="00D063B4" w:rsidP="00D0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05B19">
              <w:rPr>
                <w:i/>
              </w:rPr>
              <w:t xml:space="preserve">The calf became laterally recumbent less than a minute after administration of this drug. Since the signs seen were not consistent with anaphylactic </w:t>
            </w:r>
            <w:proofErr w:type="gramStart"/>
            <w:r w:rsidRPr="00C05B19">
              <w:rPr>
                <w:i/>
              </w:rPr>
              <w:t>reaction,</w:t>
            </w:r>
            <w:proofErr w:type="gramEnd"/>
            <w:r w:rsidRPr="00C05B19">
              <w:rPr>
                <w:i/>
              </w:rPr>
              <w:t xml:space="preserve"> and all the proper steps were taken to ensure that the injection was inde</w:t>
            </w:r>
            <w:r w:rsidR="00C05B19" w:rsidRPr="00C05B19">
              <w:rPr>
                <w:i/>
              </w:rPr>
              <w:t>ed IM (not IV), the calf’s reaction was thought to be due to the pain associated with the entire 9 ml being injected into 1 site.  The calf regained its bearings soon after.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A5287" w:rsidRDefault="007C1D27" w:rsidP="00C05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20000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</w:rPr>
                        <m:t>IU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</w:rPr>
                        <m:t>kg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</w:rPr>
                    <m:t>×90 kg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200000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</w:rPr>
                        <m:t>IU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</w:rPr>
                        <m:t>ml</m:t>
                      </m:r>
                    </m:den>
                  </m:f>
                </m:den>
              </m:f>
            </m:oMath>
            <w:r w:rsidR="00133AFE">
              <w:rPr>
                <w:rFonts w:eastAsiaTheme="minorEastAsia"/>
              </w:rPr>
              <w:t xml:space="preserve"> = </w:t>
            </w:r>
            <w:r w:rsidR="00133AFE" w:rsidRPr="00133AFE">
              <w:rPr>
                <w:rFonts w:eastAsiaTheme="minorEastAsia"/>
                <w:i/>
                <w:sz w:val="24"/>
              </w:rPr>
              <w:t>9 ml</w:t>
            </w:r>
          </w:p>
        </w:tc>
      </w:tr>
      <w:tr w:rsidR="00AA5287" w:rsidTr="00965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auto"/>
            </w:tcBorders>
          </w:tcPr>
          <w:p w:rsidR="00AA5287" w:rsidRDefault="00133AFE">
            <w:r>
              <w:t xml:space="preserve">Lidocaine (Local </w:t>
            </w:r>
            <w:proofErr w:type="spellStart"/>
            <w:r>
              <w:t>anaesthetic</w:t>
            </w:r>
            <w:proofErr w:type="spellEnd"/>
            <w:r>
              <w:t>)</w:t>
            </w:r>
          </w:p>
          <w:p w:rsidR="00501DD6" w:rsidRDefault="00501DD6"/>
          <w:p w:rsidR="00501DD6" w:rsidRPr="00727CEF" w:rsidRDefault="00501DD6" w:rsidP="00727CEF">
            <w:pPr>
              <w:jc w:val="center"/>
              <w:rPr>
                <w:i/>
              </w:rPr>
            </w:pPr>
            <w:r w:rsidRPr="00727CEF">
              <w:rPr>
                <w:i/>
              </w:rPr>
              <w:t>Given at</w:t>
            </w:r>
            <w:r w:rsidR="00E076A4">
              <w:rPr>
                <w:i/>
              </w:rPr>
              <w:t xml:space="preserve"> 2:40 pm</w:t>
            </w:r>
          </w:p>
        </w:tc>
        <w:tc>
          <w:tcPr>
            <w:tcW w:w="3666" w:type="dxa"/>
            <w:tcBorders>
              <w:top w:val="single" w:sz="8" w:space="0" w:color="auto"/>
            </w:tcBorders>
          </w:tcPr>
          <w:p w:rsidR="00AA5287" w:rsidRDefault="0050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Administered around the corneal nerve to provide short-term pain control (1-2 hours).</w:t>
            </w:r>
          </w:p>
          <w:p w:rsidR="00501DD6" w:rsidRPr="00727CEF" w:rsidRDefault="00501DD6" w:rsidP="00501DD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27CEF">
              <w:rPr>
                <w:i/>
              </w:rPr>
              <w:t>Withdrawal period: Meat (5 days); Milk (96 hours)</w:t>
            </w:r>
            <w:r w:rsidR="00727CEF" w:rsidRPr="00727CEF">
              <w:rPr>
                <w:i/>
              </w:rPr>
              <w:t>.</w:t>
            </w:r>
          </w:p>
          <w:p w:rsidR="00501DD6" w:rsidRPr="00D063B4" w:rsidRDefault="00727CEF" w:rsidP="00501DD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7CEF">
              <w:rPr>
                <w:i/>
              </w:rPr>
              <w:t>Toxic</w:t>
            </w:r>
            <w:r w:rsidR="00C05B19">
              <w:rPr>
                <w:i/>
              </w:rPr>
              <w:t xml:space="preserve"> dose is 10 mg/kg, so try to sta</w:t>
            </w:r>
            <w:r w:rsidRPr="00727CEF">
              <w:rPr>
                <w:i/>
              </w:rPr>
              <w:t>y at 5-7 mg/kg.</w:t>
            </w:r>
          </w:p>
          <w:p w:rsidR="00D063B4" w:rsidRDefault="00D063B4" w:rsidP="00D0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063B4" w:rsidRPr="00D063B4" w:rsidRDefault="00D063B4" w:rsidP="00D0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sz w:val="24"/>
              </w:rPr>
              <w:t>The left nerve block took effect afte</w:t>
            </w:r>
            <w:r w:rsidR="00C05B19">
              <w:rPr>
                <w:i/>
                <w:sz w:val="24"/>
              </w:rPr>
              <w:t xml:space="preserve">r minutes as was evident by the </w:t>
            </w:r>
            <w:r w:rsidR="000574D5">
              <w:rPr>
                <w:i/>
                <w:sz w:val="24"/>
              </w:rPr>
              <w:t>calf</w:t>
            </w:r>
            <w:r>
              <w:rPr>
                <w:i/>
                <w:sz w:val="24"/>
              </w:rPr>
              <w:t xml:space="preserve">’s inability to feel pin pricks to that area. The right </w:t>
            </w:r>
            <w:proofErr w:type="spellStart"/>
            <w:r>
              <w:rPr>
                <w:i/>
                <w:sz w:val="24"/>
              </w:rPr>
              <w:t>cornual</w:t>
            </w:r>
            <w:proofErr w:type="spellEnd"/>
            <w:r>
              <w:rPr>
                <w:i/>
                <w:sz w:val="24"/>
              </w:rPr>
              <w:t xml:space="preserve"> nerve block did not have any effect and had to be repeated at</w:t>
            </w:r>
            <w:r w:rsidR="000574D5">
              <w:rPr>
                <w:i/>
                <w:sz w:val="24"/>
              </w:rPr>
              <w:t xml:space="preserve"> 2:50 pm</w:t>
            </w:r>
            <w:bookmarkStart w:id="0" w:name="_GoBack"/>
            <w:bookmarkEnd w:id="0"/>
            <w:r>
              <w:rPr>
                <w:i/>
                <w:sz w:val="24"/>
              </w:rPr>
              <w:t>. It took effect 4 minutes later.</w:t>
            </w:r>
          </w:p>
        </w:tc>
        <w:tc>
          <w:tcPr>
            <w:tcW w:w="2718" w:type="dxa"/>
            <w:tcBorders>
              <w:top w:val="single" w:sz="8" w:space="0" w:color="auto"/>
            </w:tcBorders>
            <w:vAlign w:val="center"/>
          </w:tcPr>
          <w:p w:rsidR="00AA5287" w:rsidRPr="00501DD6" w:rsidRDefault="00133AFE" w:rsidP="00C0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01DD6">
              <w:rPr>
                <w:i/>
                <w:sz w:val="24"/>
              </w:rPr>
              <w:t xml:space="preserve">5 ml of 2% lidocaine was </w:t>
            </w:r>
            <w:r w:rsidR="00C05B19">
              <w:rPr>
                <w:i/>
                <w:sz w:val="24"/>
              </w:rPr>
              <w:t xml:space="preserve">injected at </w:t>
            </w:r>
            <w:r w:rsidR="00D24B48">
              <w:rPr>
                <w:i/>
                <w:sz w:val="24"/>
              </w:rPr>
              <w:t xml:space="preserve">each site – left and right </w:t>
            </w:r>
            <w:proofErr w:type="spellStart"/>
            <w:r w:rsidR="00D24B48">
              <w:rPr>
                <w:i/>
                <w:sz w:val="24"/>
              </w:rPr>
              <w:t>cornu</w:t>
            </w:r>
            <w:r w:rsidR="00C05B19">
              <w:rPr>
                <w:i/>
                <w:sz w:val="24"/>
              </w:rPr>
              <w:t>al</w:t>
            </w:r>
            <w:proofErr w:type="spellEnd"/>
            <w:r w:rsidR="00C05B19">
              <w:rPr>
                <w:i/>
                <w:sz w:val="24"/>
              </w:rPr>
              <w:t xml:space="preserve"> nerve.</w:t>
            </w:r>
            <w:r w:rsidR="00D063B4">
              <w:rPr>
                <w:i/>
                <w:sz w:val="24"/>
              </w:rPr>
              <w:br/>
            </w:r>
          </w:p>
        </w:tc>
      </w:tr>
    </w:tbl>
    <w:p w:rsidR="009C70C6" w:rsidRDefault="009C70C6"/>
    <w:tbl>
      <w:tblPr>
        <w:tblStyle w:val="LightShading-Accent4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727CEF" w:rsidTr="00C0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27CEF" w:rsidRDefault="00727CEF">
            <w:r>
              <w:lastRenderedPageBreak/>
              <w:t>Back-up Drug</w:t>
            </w:r>
          </w:p>
        </w:tc>
        <w:tc>
          <w:tcPr>
            <w:tcW w:w="4788" w:type="dxa"/>
          </w:tcPr>
          <w:p w:rsidR="00727CEF" w:rsidRDefault="00727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Use</w:t>
            </w:r>
          </w:p>
        </w:tc>
      </w:tr>
      <w:tr w:rsidR="00727CEF" w:rsidTr="00C05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27CEF" w:rsidRDefault="00727CEF" w:rsidP="009C70C6">
            <w:proofErr w:type="spellStart"/>
            <w:r>
              <w:t>Tolazoline</w:t>
            </w:r>
            <w:proofErr w:type="spellEnd"/>
          </w:p>
        </w:tc>
        <w:tc>
          <w:tcPr>
            <w:tcW w:w="4788" w:type="dxa"/>
            <w:vAlign w:val="center"/>
          </w:tcPr>
          <w:p w:rsidR="00727CEF" w:rsidRDefault="00617E5A" w:rsidP="009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Reversal of the sedative and analgesic effects of </w:t>
            </w:r>
            <w:proofErr w:type="spellStart"/>
            <w:r>
              <w:t>xylazine</w:t>
            </w:r>
            <w:proofErr w:type="spellEnd"/>
            <w:r>
              <w:t xml:space="preserve"> if administered IV, at a dose of 2-4x that of </w:t>
            </w:r>
            <w:proofErr w:type="spellStart"/>
            <w:r>
              <w:t>xylazine</w:t>
            </w:r>
            <w:proofErr w:type="spellEnd"/>
            <w:r>
              <w:t>.</w:t>
            </w:r>
          </w:p>
          <w:p w:rsidR="00617E5A" w:rsidRDefault="00617E5A" w:rsidP="009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Onset may occur within 5 minutes of administration depending on depth and duration of </w:t>
            </w:r>
            <w:proofErr w:type="spellStart"/>
            <w:r>
              <w:t>xylazine</w:t>
            </w:r>
            <w:proofErr w:type="spellEnd"/>
            <w:r>
              <w:t>-induced sedation.</w:t>
            </w:r>
          </w:p>
          <w:p w:rsidR="009C70C6" w:rsidRDefault="009C70C6" w:rsidP="009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CEF" w:rsidTr="00C05B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27CEF" w:rsidRDefault="00727CEF" w:rsidP="009C70C6">
            <w:r>
              <w:t>Epinephrine</w:t>
            </w:r>
            <w:r w:rsidR="00E34CC5">
              <w:t xml:space="preserve"> (1 mg/ml)</w:t>
            </w:r>
          </w:p>
        </w:tc>
        <w:tc>
          <w:tcPr>
            <w:tcW w:w="4788" w:type="dxa"/>
            <w:vAlign w:val="center"/>
          </w:tcPr>
          <w:p w:rsidR="00727CEF" w:rsidRDefault="00617E5A" w:rsidP="009C70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counter Type I hypersensitivity reactions</w:t>
            </w:r>
            <w:r w:rsidR="00E34CC5">
              <w:t xml:space="preserve"> which are a major cause of adverse drug </w:t>
            </w:r>
            <w:proofErr w:type="gramStart"/>
            <w:r w:rsidR="00E34CC5">
              <w:t>reactions.</w:t>
            </w:r>
            <w:proofErr w:type="gramEnd"/>
            <w:r w:rsidR="00E34CC5">
              <w:br/>
              <w:t>Via the IM/SC route at a dosage of 0.02 mg/kg</w:t>
            </w:r>
          </w:p>
          <w:p w:rsidR="009C70C6" w:rsidRDefault="009C70C6" w:rsidP="009C70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7CEF" w:rsidTr="00C05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27CEF" w:rsidRDefault="00727CEF" w:rsidP="009C70C6">
            <w:r>
              <w:t>Atropine</w:t>
            </w:r>
            <w:r w:rsidR="00E34CC5">
              <w:t xml:space="preserve"> (1 mg/ml)</w:t>
            </w:r>
          </w:p>
        </w:tc>
        <w:tc>
          <w:tcPr>
            <w:tcW w:w="4788" w:type="dxa"/>
            <w:vAlign w:val="center"/>
          </w:tcPr>
          <w:p w:rsidR="00727CEF" w:rsidRDefault="0039343A" w:rsidP="009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 </w:t>
            </w:r>
            <w:r w:rsidR="009C70C6">
              <w:t xml:space="preserve">lessen the cardiac depressing effects of </w:t>
            </w:r>
            <w:proofErr w:type="spellStart"/>
            <w:r w:rsidR="009C70C6">
              <w:t>xylazine</w:t>
            </w:r>
            <w:proofErr w:type="spellEnd"/>
            <w:r>
              <w:t xml:space="preserve">, i.e. </w:t>
            </w:r>
            <w:r w:rsidR="009C70C6">
              <w:t xml:space="preserve">prevent </w:t>
            </w:r>
            <w:r>
              <w:t>bradycardia without affecting sedation.</w:t>
            </w:r>
          </w:p>
          <w:p w:rsidR="0039343A" w:rsidRDefault="0039343A" w:rsidP="009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Via the IM/IV route</w:t>
            </w:r>
            <w:r w:rsidR="009C70C6">
              <w:t xml:space="preserve"> at a dosage of 0.04 mg/kg</w:t>
            </w:r>
          </w:p>
          <w:p w:rsidR="009C70C6" w:rsidRDefault="009C70C6" w:rsidP="009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CEF" w:rsidTr="00C05B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27CEF" w:rsidRDefault="00727CEF" w:rsidP="009C70C6">
            <w:proofErr w:type="spellStart"/>
            <w:r>
              <w:t>Xylazine</w:t>
            </w:r>
            <w:proofErr w:type="spellEnd"/>
            <w:r w:rsidR="009C70C6">
              <w:t xml:space="preserve"> (20 mg/ml)</w:t>
            </w:r>
          </w:p>
          <w:p w:rsidR="00727CEF" w:rsidRDefault="00727CEF" w:rsidP="009C70C6">
            <w:r>
              <w:t>Ketamine</w:t>
            </w:r>
            <w:r w:rsidR="009C70C6">
              <w:t xml:space="preserve"> (100 mg/ml)</w:t>
            </w:r>
          </w:p>
        </w:tc>
        <w:tc>
          <w:tcPr>
            <w:tcW w:w="4788" w:type="dxa"/>
            <w:vAlign w:val="center"/>
          </w:tcPr>
          <w:p w:rsidR="00727CEF" w:rsidRDefault="009C70C6" w:rsidP="00C26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facilitate easier restraint and control of the animal if needed</w:t>
            </w:r>
            <w:r w:rsidR="00C26B07">
              <w:t>,</w:t>
            </w:r>
            <w:r>
              <w:t xml:space="preserve"> </w:t>
            </w:r>
            <w:r w:rsidR="00C26B07">
              <w:t xml:space="preserve">through </w:t>
            </w:r>
            <w:r>
              <w:t>their immobilization effects.</w:t>
            </w:r>
            <w:r w:rsidR="00C26B07">
              <w:br/>
              <w:t xml:space="preserve">Via the IM route at a dosage of 0.025 mg/kg for </w:t>
            </w:r>
            <w:proofErr w:type="spellStart"/>
            <w:r w:rsidR="00C26B07">
              <w:t>Xylazine</w:t>
            </w:r>
            <w:proofErr w:type="spellEnd"/>
            <w:r w:rsidR="00C26B07">
              <w:t>, and 1mg/kg for Ketamine.</w:t>
            </w:r>
          </w:p>
        </w:tc>
      </w:tr>
    </w:tbl>
    <w:p w:rsidR="00727CEF" w:rsidRDefault="00727CEF"/>
    <w:p w:rsidR="00727CEF" w:rsidRDefault="00727CEF"/>
    <w:p w:rsidR="00727CEF" w:rsidRDefault="00727CEF"/>
    <w:p w:rsidR="00727CEF" w:rsidRDefault="00727CEF"/>
    <w:p w:rsidR="00727CEF" w:rsidRDefault="00727CEF"/>
    <w:p w:rsidR="00727CEF" w:rsidRDefault="00727CEF"/>
    <w:p w:rsidR="00727CEF" w:rsidRDefault="00727CEF"/>
    <w:p w:rsidR="00727CEF" w:rsidRDefault="00727CEF"/>
    <w:p w:rsidR="00727CEF" w:rsidRDefault="00727CEF"/>
    <w:sectPr w:rsidR="00727CEF" w:rsidSect="00C05B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27" w:rsidRDefault="007C1D27" w:rsidP="000A57F1">
      <w:pPr>
        <w:spacing w:after="0" w:line="240" w:lineRule="auto"/>
      </w:pPr>
      <w:r>
        <w:separator/>
      </w:r>
    </w:p>
  </w:endnote>
  <w:endnote w:type="continuationSeparator" w:id="0">
    <w:p w:rsidR="007C1D27" w:rsidRDefault="007C1D27" w:rsidP="000A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27" w:rsidRDefault="007C1D27" w:rsidP="000A57F1">
      <w:pPr>
        <w:spacing w:after="0" w:line="240" w:lineRule="auto"/>
      </w:pPr>
      <w:r>
        <w:separator/>
      </w:r>
    </w:p>
  </w:footnote>
  <w:footnote w:type="continuationSeparator" w:id="0">
    <w:p w:rsidR="007C1D27" w:rsidRDefault="007C1D27" w:rsidP="000A5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F4AB7"/>
    <w:multiLevelType w:val="hybridMultilevel"/>
    <w:tmpl w:val="E7B0E3F4"/>
    <w:lvl w:ilvl="0" w:tplc="DFA691E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87"/>
    <w:rsid w:val="000574D5"/>
    <w:rsid w:val="000A57F1"/>
    <w:rsid w:val="00114755"/>
    <w:rsid w:val="00133AFE"/>
    <w:rsid w:val="001D0DCC"/>
    <w:rsid w:val="0039343A"/>
    <w:rsid w:val="00476F83"/>
    <w:rsid w:val="00501DD6"/>
    <w:rsid w:val="00562C08"/>
    <w:rsid w:val="005C1F95"/>
    <w:rsid w:val="00617E5A"/>
    <w:rsid w:val="00727CEF"/>
    <w:rsid w:val="007C1D27"/>
    <w:rsid w:val="008568B3"/>
    <w:rsid w:val="008E46DC"/>
    <w:rsid w:val="00965EB5"/>
    <w:rsid w:val="009C70C6"/>
    <w:rsid w:val="00AA5287"/>
    <w:rsid w:val="00B31F0E"/>
    <w:rsid w:val="00BA41B3"/>
    <w:rsid w:val="00C05B19"/>
    <w:rsid w:val="00C26B07"/>
    <w:rsid w:val="00D063B4"/>
    <w:rsid w:val="00D24B48"/>
    <w:rsid w:val="00DB67D2"/>
    <w:rsid w:val="00E076A4"/>
    <w:rsid w:val="00E3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2C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1B3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727C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7F1"/>
  </w:style>
  <w:style w:type="paragraph" w:styleId="Footer">
    <w:name w:val="footer"/>
    <w:basedOn w:val="Normal"/>
    <w:link w:val="FooterChar"/>
    <w:uiPriority w:val="99"/>
    <w:unhideWhenUsed/>
    <w:rsid w:val="000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2C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1B3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727C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7F1"/>
  </w:style>
  <w:style w:type="paragraph" w:styleId="Footer">
    <w:name w:val="footer"/>
    <w:basedOn w:val="Normal"/>
    <w:link w:val="FooterChar"/>
    <w:uiPriority w:val="99"/>
    <w:unhideWhenUsed/>
    <w:rsid w:val="000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7</cp:revision>
  <dcterms:created xsi:type="dcterms:W3CDTF">2016-09-25T00:35:00Z</dcterms:created>
  <dcterms:modified xsi:type="dcterms:W3CDTF">2016-09-25T19:08:00Z</dcterms:modified>
</cp:coreProperties>
</file>