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B21" w:rsidRDefault="00506B21" w:rsidP="00506B21">
      <w:pPr>
        <w:jc w:val="center"/>
        <w:rPr>
          <w:b/>
          <w:sz w:val="24"/>
          <w:u w:val="single"/>
        </w:rPr>
      </w:pPr>
      <w:r>
        <w:rPr>
          <w:b/>
          <w:sz w:val="24"/>
          <w:u w:val="single"/>
        </w:rPr>
        <w:t>CORNUAL</w:t>
      </w:r>
      <w:r w:rsidRPr="00A52DA2">
        <w:rPr>
          <w:b/>
          <w:sz w:val="24"/>
          <w:u w:val="single"/>
        </w:rPr>
        <w:t xml:space="preserve"> BLOCK</w:t>
      </w:r>
    </w:p>
    <w:p w:rsidR="00506B21" w:rsidRPr="00A52DA2" w:rsidRDefault="00695C09" w:rsidP="00506B21">
      <w:pPr>
        <w:jc w:val="center"/>
        <w:rPr>
          <w:b/>
          <w:sz w:val="24"/>
          <w:u w:val="single"/>
        </w:rPr>
      </w:pPr>
      <w:r w:rsidRPr="00695C09">
        <w:rPr>
          <w:noProof/>
          <w:sz w:val="24"/>
        </w:rPr>
        <w:drawing>
          <wp:inline distT="0" distB="0" distL="0" distR="0">
            <wp:extent cx="2990850" cy="2371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rnual block.png"/>
                    <pic:cNvPicPr/>
                  </pic:nvPicPr>
                  <pic:blipFill>
                    <a:blip r:embed="rId5">
                      <a:extLst>
                        <a:ext uri="{28A0092B-C50C-407E-A947-70E740481C1C}">
                          <a14:useLocalDpi xmlns:a14="http://schemas.microsoft.com/office/drawing/2010/main" val="0"/>
                        </a:ext>
                      </a:extLst>
                    </a:blip>
                    <a:stretch>
                      <a:fillRect/>
                    </a:stretch>
                  </pic:blipFill>
                  <pic:spPr>
                    <a:xfrm>
                      <a:off x="0" y="0"/>
                      <a:ext cx="2990850" cy="2371725"/>
                    </a:xfrm>
                    <a:prstGeom prst="rect">
                      <a:avLst/>
                    </a:prstGeom>
                  </pic:spPr>
                </pic:pic>
              </a:graphicData>
            </a:graphic>
          </wp:inline>
        </w:drawing>
      </w:r>
    </w:p>
    <w:p w:rsidR="00506B21" w:rsidRDefault="00506B21" w:rsidP="00506B21"/>
    <w:p w:rsidR="00506B21" w:rsidRPr="00A52DA2" w:rsidRDefault="00506B21" w:rsidP="00506B21">
      <w:pPr>
        <w:pStyle w:val="NoSpacing"/>
        <w:rPr>
          <w:b/>
          <w:u w:val="single"/>
        </w:rPr>
      </w:pPr>
      <w:r w:rsidRPr="00A52DA2">
        <w:rPr>
          <w:b/>
          <w:u w:val="single"/>
        </w:rPr>
        <w:t>Information:</w:t>
      </w:r>
    </w:p>
    <w:p w:rsidR="00506B21" w:rsidRDefault="00506B21" w:rsidP="00506B21">
      <w:pPr>
        <w:pStyle w:val="NoSpacing"/>
      </w:pPr>
    </w:p>
    <w:p w:rsidR="00B17CC3" w:rsidRDefault="00506B21" w:rsidP="00B17CC3">
      <w:pPr>
        <w:pStyle w:val="NoSpacing"/>
        <w:jc w:val="both"/>
      </w:pPr>
      <w:r>
        <w:t xml:space="preserve">This block is conducted on the cornual branch of the </w:t>
      </w:r>
      <w:r w:rsidR="00F1120C">
        <w:t>zygomaticotemporal/lacrimal</w:t>
      </w:r>
      <w:r>
        <w:t xml:space="preserve"> nerve</w:t>
      </w:r>
      <w:r w:rsidR="00F1120C">
        <w:t xml:space="preserve"> (a branch of the trigeminal nerve)</w:t>
      </w:r>
      <w:r>
        <w:t xml:space="preserve"> to prevent </w:t>
      </w:r>
      <w:r w:rsidR="00B17CC3">
        <w:t xml:space="preserve">sensation to the skin surrounding the </w:t>
      </w:r>
      <w:r w:rsidR="008730E1">
        <w:t>base of the horn</w:t>
      </w:r>
      <w:r>
        <w:t xml:space="preserve">, and </w:t>
      </w:r>
      <w:r w:rsidR="008730E1">
        <w:t xml:space="preserve">is </w:t>
      </w:r>
      <w:r>
        <w:t>most commonly done in preparation for dehorning and treating horn injuries</w:t>
      </w:r>
      <w:r w:rsidR="00B17CC3">
        <w:t>. The nerve runs from the base of the ear past the eye ventrally along the facial crest (zygomatic arch). The nerve supplies the horn coruim and the skin around the base of the horn</w:t>
      </w:r>
      <w:r w:rsidR="00C90C18">
        <w:t>.</w:t>
      </w:r>
    </w:p>
    <w:p w:rsidR="00506B21" w:rsidRDefault="00506B21" w:rsidP="00506B21">
      <w:pPr>
        <w:pStyle w:val="NoSpacing"/>
      </w:pPr>
    </w:p>
    <w:p w:rsidR="00506B21" w:rsidRDefault="00506B21" w:rsidP="00506B21">
      <w:pPr>
        <w:pStyle w:val="NoSpacing"/>
      </w:pPr>
    </w:p>
    <w:p w:rsidR="00506B21" w:rsidRPr="00A52DA2" w:rsidRDefault="00506B21" w:rsidP="00506B21">
      <w:pPr>
        <w:pStyle w:val="NoSpacing"/>
        <w:rPr>
          <w:b/>
          <w:u w:val="single"/>
        </w:rPr>
      </w:pPr>
      <w:r w:rsidRPr="00A52DA2">
        <w:rPr>
          <w:b/>
          <w:u w:val="single"/>
        </w:rPr>
        <w:t>Procedure:</w:t>
      </w:r>
    </w:p>
    <w:p w:rsidR="00506B21" w:rsidRDefault="00506B21" w:rsidP="00506B21">
      <w:pPr>
        <w:pStyle w:val="NoSpacing"/>
      </w:pPr>
    </w:p>
    <w:p w:rsidR="00506B21" w:rsidRDefault="00506B21" w:rsidP="00506B21">
      <w:pPr>
        <w:pStyle w:val="NoSpacing"/>
      </w:pPr>
      <w:r>
        <w:t xml:space="preserve">Time given – </w:t>
      </w:r>
      <w:r w:rsidR="00EF1BB2">
        <w:t>2:58pm</w:t>
      </w:r>
    </w:p>
    <w:p w:rsidR="00506B21" w:rsidRDefault="00506B21" w:rsidP="00506B21">
      <w:pPr>
        <w:pStyle w:val="NoSpacing"/>
      </w:pPr>
      <w:r>
        <w:t>Route – SC</w:t>
      </w:r>
    </w:p>
    <w:p w:rsidR="00506B21" w:rsidRDefault="00506B21" w:rsidP="00506B21">
      <w:pPr>
        <w:pStyle w:val="NoSpacing"/>
      </w:pPr>
      <w:r>
        <w:t>Onset – 10-15 minutes</w:t>
      </w:r>
    </w:p>
    <w:p w:rsidR="00506B21" w:rsidRDefault="00506B21" w:rsidP="00506B21">
      <w:pPr>
        <w:pStyle w:val="NoSpacing"/>
      </w:pPr>
      <w:r>
        <w:t>Duration – 1 hour</w:t>
      </w:r>
    </w:p>
    <w:p w:rsidR="00F1120C" w:rsidRDefault="00F1120C" w:rsidP="00506B21">
      <w:pPr>
        <w:pStyle w:val="NoSpacing"/>
      </w:pPr>
    </w:p>
    <w:p w:rsidR="00F1120C" w:rsidRDefault="00F1120C" w:rsidP="00F1120C">
      <w:pPr>
        <w:numPr>
          <w:ilvl w:val="0"/>
          <w:numId w:val="2"/>
        </w:numPr>
        <w:spacing w:before="100" w:beforeAutospacing="1" w:after="100" w:afterAutospacing="1" w:line="240" w:lineRule="auto"/>
        <w:jc w:val="both"/>
        <w:rPr>
          <w:rFonts w:cs="Arial"/>
          <w:color w:val="000000"/>
        </w:rPr>
      </w:pPr>
      <w:r>
        <w:rPr>
          <w:rFonts w:cs="Arial"/>
          <w:color w:val="000000"/>
        </w:rPr>
        <w:t>Insert an</w:t>
      </w:r>
      <w:r w:rsidRPr="00F1120C">
        <w:rPr>
          <w:rFonts w:cs="Arial"/>
          <w:color w:val="000000"/>
        </w:rPr>
        <w:t xml:space="preserve"> </w:t>
      </w:r>
      <w:proofErr w:type="gramStart"/>
      <w:r w:rsidRPr="00F1120C">
        <w:rPr>
          <w:rFonts w:cs="Arial"/>
          <w:color w:val="000000"/>
        </w:rPr>
        <w:t>18 gauge</w:t>
      </w:r>
      <w:proofErr w:type="gramEnd"/>
      <w:r w:rsidRPr="00F1120C">
        <w:rPr>
          <w:rFonts w:cs="Arial"/>
          <w:color w:val="000000"/>
        </w:rPr>
        <w:t xml:space="preserve"> needle into the upper third of the temporal ridge, immediately behind the ridge and about 2.5 cm below the base of the horn, to a depth of 0.7 to 1.0 cm. (The nerve may be palpable, between the frontalis and temporal muscles, about half way from the lateral canthus of the eye to a point about 3cm belo</w:t>
      </w:r>
      <w:r>
        <w:rPr>
          <w:rFonts w:cs="Arial"/>
          <w:color w:val="000000"/>
        </w:rPr>
        <w:t>w the lateral base of the horn)</w:t>
      </w:r>
    </w:p>
    <w:p w:rsidR="00F1120C" w:rsidRPr="00F1120C" w:rsidRDefault="00F1120C" w:rsidP="00F1120C">
      <w:pPr>
        <w:numPr>
          <w:ilvl w:val="0"/>
          <w:numId w:val="2"/>
        </w:numPr>
        <w:spacing w:before="100" w:beforeAutospacing="1" w:after="100" w:afterAutospacing="1" w:line="240" w:lineRule="auto"/>
        <w:jc w:val="both"/>
        <w:rPr>
          <w:rFonts w:cs="Arial"/>
          <w:color w:val="000000"/>
        </w:rPr>
      </w:pPr>
      <w:r>
        <w:rPr>
          <w:rFonts w:cs="Arial"/>
          <w:color w:val="000000"/>
        </w:rPr>
        <w:t>Attach syringe</w:t>
      </w:r>
    </w:p>
    <w:p w:rsidR="00F1120C" w:rsidRPr="00F1120C" w:rsidRDefault="00F1120C" w:rsidP="00F1120C">
      <w:pPr>
        <w:numPr>
          <w:ilvl w:val="0"/>
          <w:numId w:val="2"/>
        </w:numPr>
        <w:spacing w:before="100" w:beforeAutospacing="1" w:after="100" w:afterAutospacing="1" w:line="240" w:lineRule="auto"/>
        <w:jc w:val="both"/>
        <w:rPr>
          <w:rFonts w:cs="Arial"/>
          <w:color w:val="000000"/>
        </w:rPr>
      </w:pPr>
      <w:r w:rsidRPr="00F1120C">
        <w:rPr>
          <w:rFonts w:cs="Arial"/>
          <w:color w:val="000000"/>
        </w:rPr>
        <w:t>Draw back on the plunger to check that the needl</w:t>
      </w:r>
      <w:r>
        <w:rPr>
          <w:rFonts w:cs="Arial"/>
          <w:color w:val="000000"/>
        </w:rPr>
        <w:t>e is not placed intravascularly</w:t>
      </w:r>
    </w:p>
    <w:p w:rsidR="00F1120C" w:rsidRDefault="00F1120C" w:rsidP="00F1120C">
      <w:pPr>
        <w:numPr>
          <w:ilvl w:val="0"/>
          <w:numId w:val="2"/>
        </w:numPr>
        <w:spacing w:before="100" w:beforeAutospacing="1" w:after="100" w:afterAutospacing="1" w:line="240" w:lineRule="auto"/>
        <w:jc w:val="both"/>
        <w:rPr>
          <w:rFonts w:cs="Arial"/>
          <w:color w:val="000000"/>
        </w:rPr>
      </w:pPr>
      <w:r w:rsidRPr="00F1120C">
        <w:rPr>
          <w:rFonts w:cs="Arial"/>
          <w:color w:val="000000"/>
        </w:rPr>
        <w:t xml:space="preserve">Inject </w:t>
      </w:r>
      <w:r>
        <w:rPr>
          <w:rFonts w:cs="Arial"/>
          <w:color w:val="000000"/>
        </w:rPr>
        <w:t>the appropriate dosage of</w:t>
      </w:r>
      <w:r w:rsidRPr="00F1120C">
        <w:rPr>
          <w:rFonts w:cs="Arial"/>
          <w:color w:val="000000"/>
        </w:rPr>
        <w:t xml:space="preserve"> 2%</w:t>
      </w:r>
      <w:r w:rsidRPr="00F1120C">
        <w:rPr>
          <w:rStyle w:val="apple-converted-space"/>
          <w:rFonts w:cs="Arial"/>
          <w:color w:val="000000"/>
        </w:rPr>
        <w:t> </w:t>
      </w:r>
      <w:r>
        <w:rPr>
          <w:rFonts w:cs="Arial"/>
          <w:color w:val="000000"/>
        </w:rPr>
        <w:t>lidocaine</w:t>
      </w:r>
      <w:r w:rsidRPr="00F1120C">
        <w:rPr>
          <w:rFonts w:cs="Arial"/>
          <w:color w:val="000000"/>
        </w:rPr>
        <w:t xml:space="preserve"> </w:t>
      </w:r>
    </w:p>
    <w:p w:rsidR="00F1120C" w:rsidRPr="00F1120C" w:rsidRDefault="00F1120C" w:rsidP="00F1120C">
      <w:pPr>
        <w:numPr>
          <w:ilvl w:val="0"/>
          <w:numId w:val="2"/>
        </w:numPr>
        <w:spacing w:before="100" w:beforeAutospacing="1" w:after="100" w:afterAutospacing="1" w:line="240" w:lineRule="auto"/>
        <w:jc w:val="both"/>
        <w:rPr>
          <w:rFonts w:cs="Arial"/>
          <w:color w:val="000000"/>
        </w:rPr>
      </w:pPr>
      <w:r>
        <w:rPr>
          <w:rFonts w:cs="Arial"/>
          <w:color w:val="000000"/>
        </w:rPr>
        <w:t>Remove syringe and needle, holding off the area to prevent haematoma formation</w:t>
      </w:r>
    </w:p>
    <w:p w:rsidR="00695C09" w:rsidRDefault="00695C09" w:rsidP="00F1120C">
      <w:pPr>
        <w:spacing w:before="100" w:beforeAutospacing="1" w:after="100" w:afterAutospacing="1" w:line="240" w:lineRule="auto"/>
        <w:ind w:left="360"/>
        <w:jc w:val="both"/>
        <w:rPr>
          <w:rFonts w:cs="Arial"/>
          <w:color w:val="000000"/>
        </w:rPr>
      </w:pPr>
    </w:p>
    <w:p w:rsidR="00695C09" w:rsidRDefault="00695C09" w:rsidP="00F1120C">
      <w:pPr>
        <w:spacing w:before="100" w:beforeAutospacing="1" w:after="100" w:afterAutospacing="1" w:line="240" w:lineRule="auto"/>
        <w:ind w:left="360"/>
        <w:jc w:val="both"/>
        <w:rPr>
          <w:rFonts w:cs="Arial"/>
          <w:color w:val="000000"/>
        </w:rPr>
      </w:pPr>
    </w:p>
    <w:p w:rsidR="00F1120C" w:rsidRDefault="00F1120C" w:rsidP="00F1120C">
      <w:pPr>
        <w:spacing w:before="100" w:beforeAutospacing="1" w:after="100" w:afterAutospacing="1" w:line="240" w:lineRule="auto"/>
        <w:ind w:left="360"/>
        <w:jc w:val="both"/>
        <w:rPr>
          <w:rFonts w:cs="Arial"/>
          <w:color w:val="000000"/>
        </w:rPr>
      </w:pPr>
      <w:bookmarkStart w:id="0" w:name="_GoBack"/>
      <w:bookmarkEnd w:id="0"/>
      <w:r>
        <w:rPr>
          <w:rFonts w:cs="Arial"/>
          <w:color w:val="000000"/>
        </w:rPr>
        <w:lastRenderedPageBreak/>
        <w:t>N.B.</w:t>
      </w:r>
    </w:p>
    <w:p w:rsidR="00F1120C" w:rsidRPr="00F1120C" w:rsidRDefault="00F1120C" w:rsidP="00F1120C">
      <w:pPr>
        <w:spacing w:before="100" w:beforeAutospacing="1" w:after="100" w:afterAutospacing="1" w:line="240" w:lineRule="auto"/>
        <w:ind w:left="360"/>
        <w:jc w:val="both"/>
        <w:rPr>
          <w:rFonts w:cs="Arial"/>
          <w:color w:val="000000"/>
        </w:rPr>
      </w:pPr>
      <w:r w:rsidRPr="00F1120C">
        <w:rPr>
          <w:rFonts w:cs="Arial"/>
          <w:color w:val="000000"/>
        </w:rPr>
        <w:t>A blink response should be noted during administration; drooping of the upper eyelid is a good early sign of correct anaesthesia. Failure may occur if the anaesthetic solution is injected too deeply, into t</w:t>
      </w:r>
      <w:r>
        <w:rPr>
          <w:rFonts w:cs="Arial"/>
          <w:color w:val="000000"/>
        </w:rPr>
        <w:t>he temporal muscle aponeurosis. I</w:t>
      </w:r>
      <w:r w:rsidRPr="00F1120C">
        <w:rPr>
          <w:rFonts w:cs="Arial"/>
          <w:color w:val="000000"/>
        </w:rPr>
        <w:t>n large individuals with well-developed horns make a second injection about 1 cm caudal to the first injection, to block the posterior division of the nerve</w:t>
      </w:r>
      <w:r>
        <w:rPr>
          <w:rFonts w:cs="Arial"/>
          <w:color w:val="000000"/>
        </w:rPr>
        <w:t>.</w:t>
      </w:r>
    </w:p>
    <w:p w:rsidR="00F1120C" w:rsidRDefault="00F1120C" w:rsidP="00506B21">
      <w:pPr>
        <w:pStyle w:val="NoSpacing"/>
      </w:pPr>
    </w:p>
    <w:p w:rsidR="00506B21" w:rsidRDefault="00506B21" w:rsidP="00506B21">
      <w:pPr>
        <w:pStyle w:val="NoSpacing"/>
      </w:pPr>
    </w:p>
    <w:p w:rsidR="00F1120C" w:rsidRDefault="00F1120C" w:rsidP="00F1120C"/>
    <w:sectPr w:rsidR="00F112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83BD0"/>
    <w:multiLevelType w:val="hybridMultilevel"/>
    <w:tmpl w:val="0646F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F87060"/>
    <w:multiLevelType w:val="hybridMultilevel"/>
    <w:tmpl w:val="0409000F"/>
    <w:lvl w:ilvl="0" w:tplc="64208114">
      <w:start w:val="1"/>
      <w:numFmt w:val="decimal"/>
      <w:lvlText w:val="%1."/>
      <w:lvlJc w:val="left"/>
      <w:pPr>
        <w:ind w:left="720" w:hanging="360"/>
      </w:pPr>
      <w:rPr>
        <w:rFonts w:hint="default"/>
        <w:sz w:val="20"/>
      </w:rPr>
    </w:lvl>
    <w:lvl w:ilvl="1" w:tplc="80F24312">
      <w:start w:val="1"/>
      <w:numFmt w:val="lowerLetter"/>
      <w:lvlText w:val="%2."/>
      <w:lvlJc w:val="left"/>
      <w:pPr>
        <w:ind w:left="1440" w:hanging="360"/>
      </w:pPr>
      <w:rPr>
        <w:rFonts w:hint="default"/>
        <w:sz w:val="20"/>
      </w:rPr>
    </w:lvl>
    <w:lvl w:ilvl="2" w:tplc="77C65230" w:tentative="1">
      <w:start w:val="1"/>
      <w:numFmt w:val="lowerRoman"/>
      <w:lvlText w:val="%3."/>
      <w:lvlJc w:val="right"/>
      <w:pPr>
        <w:ind w:left="2160" w:hanging="180"/>
      </w:pPr>
      <w:rPr>
        <w:rFonts w:hint="default"/>
        <w:sz w:val="20"/>
      </w:rPr>
    </w:lvl>
    <w:lvl w:ilvl="3" w:tplc="4F82BBE4" w:tentative="1">
      <w:start w:val="1"/>
      <w:numFmt w:val="decimal"/>
      <w:lvlText w:val="%4."/>
      <w:lvlJc w:val="left"/>
      <w:pPr>
        <w:ind w:left="2880" w:hanging="360"/>
      </w:pPr>
      <w:rPr>
        <w:rFonts w:hint="default"/>
        <w:sz w:val="20"/>
      </w:rPr>
    </w:lvl>
    <w:lvl w:ilvl="4" w:tplc="D442823A" w:tentative="1">
      <w:start w:val="1"/>
      <w:numFmt w:val="lowerLetter"/>
      <w:lvlText w:val="%5."/>
      <w:lvlJc w:val="left"/>
      <w:pPr>
        <w:ind w:left="3600" w:hanging="360"/>
      </w:pPr>
      <w:rPr>
        <w:rFonts w:hint="default"/>
        <w:sz w:val="20"/>
      </w:rPr>
    </w:lvl>
    <w:lvl w:ilvl="5" w:tplc="7D5252D4" w:tentative="1">
      <w:start w:val="1"/>
      <w:numFmt w:val="lowerRoman"/>
      <w:lvlText w:val="%6."/>
      <w:lvlJc w:val="right"/>
      <w:pPr>
        <w:ind w:left="4320" w:hanging="180"/>
      </w:pPr>
      <w:rPr>
        <w:rFonts w:hint="default"/>
        <w:sz w:val="20"/>
      </w:rPr>
    </w:lvl>
    <w:lvl w:ilvl="6" w:tplc="F44A4B84" w:tentative="1">
      <w:start w:val="1"/>
      <w:numFmt w:val="decimal"/>
      <w:lvlText w:val="%7."/>
      <w:lvlJc w:val="left"/>
      <w:pPr>
        <w:ind w:left="5040" w:hanging="360"/>
      </w:pPr>
      <w:rPr>
        <w:rFonts w:hint="default"/>
        <w:sz w:val="20"/>
      </w:rPr>
    </w:lvl>
    <w:lvl w:ilvl="7" w:tplc="9E362460" w:tentative="1">
      <w:start w:val="1"/>
      <w:numFmt w:val="lowerLetter"/>
      <w:lvlText w:val="%8."/>
      <w:lvlJc w:val="left"/>
      <w:pPr>
        <w:ind w:left="5760" w:hanging="360"/>
      </w:pPr>
      <w:rPr>
        <w:rFonts w:hint="default"/>
        <w:sz w:val="20"/>
      </w:rPr>
    </w:lvl>
    <w:lvl w:ilvl="8" w:tplc="DB10925E" w:tentative="1">
      <w:start w:val="1"/>
      <w:numFmt w:val="lowerRoman"/>
      <w:lvlText w:val="%9."/>
      <w:lvlJc w:val="right"/>
      <w:pPr>
        <w:ind w:left="6480" w:hanging="180"/>
      </w:pPr>
      <w:rPr>
        <w:rFont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2"/>
  </w:compat>
  <w:rsids>
    <w:rsidRoot w:val="00E0793B"/>
    <w:rsid w:val="0015018F"/>
    <w:rsid w:val="00506B21"/>
    <w:rsid w:val="00695C09"/>
    <w:rsid w:val="008730E1"/>
    <w:rsid w:val="00B17CC3"/>
    <w:rsid w:val="00C90C18"/>
    <w:rsid w:val="00E0793B"/>
    <w:rsid w:val="00EF1BB2"/>
    <w:rsid w:val="00F1120C"/>
    <w:rsid w:val="00FA3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EE2C4"/>
  <w15:chartTrackingRefBased/>
  <w15:docId w15:val="{07B2B443-35AD-40E7-A701-EB0F71461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06B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6B21"/>
    <w:pPr>
      <w:spacing w:after="0" w:line="240" w:lineRule="auto"/>
    </w:pPr>
  </w:style>
  <w:style w:type="paragraph" w:styleId="ListParagraph">
    <w:name w:val="List Paragraph"/>
    <w:basedOn w:val="Normal"/>
    <w:uiPriority w:val="34"/>
    <w:qFormat/>
    <w:rsid w:val="00B17CC3"/>
    <w:pPr>
      <w:ind w:left="720"/>
      <w:contextualSpacing/>
    </w:pPr>
  </w:style>
  <w:style w:type="character" w:styleId="Hyperlink">
    <w:name w:val="Hyperlink"/>
    <w:basedOn w:val="DefaultParagraphFont"/>
    <w:uiPriority w:val="99"/>
    <w:unhideWhenUsed/>
    <w:rsid w:val="00B17CC3"/>
    <w:rPr>
      <w:color w:val="0000FF" w:themeColor="hyperlink"/>
      <w:u w:val="single"/>
    </w:rPr>
  </w:style>
  <w:style w:type="character" w:customStyle="1" w:styleId="apple-converted-space">
    <w:name w:val="apple-converted-space"/>
    <w:basedOn w:val="DefaultParagraphFont"/>
    <w:rsid w:val="00F11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62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Pages>
  <Words>231</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Johnally</dc:creator>
  <cp:keywords/>
  <dc:description/>
  <cp:lastModifiedBy>Simone Johnally</cp:lastModifiedBy>
  <cp:revision>5</cp:revision>
  <dcterms:created xsi:type="dcterms:W3CDTF">2016-09-14T00:42:00Z</dcterms:created>
  <dcterms:modified xsi:type="dcterms:W3CDTF">2016-09-14T02:25:00Z</dcterms:modified>
</cp:coreProperties>
</file>