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E44" w:rsidRDefault="003A3E44">
      <w:bookmarkStart w:id="0" w:name="_GoBack"/>
      <w:bookmarkEnd w:id="0"/>
    </w:p>
    <w:p w:rsidR="003A3E44" w:rsidRPr="003A3E44" w:rsidRDefault="003A3E44" w:rsidP="003A3E44">
      <w:pPr>
        <w:jc w:val="center"/>
        <w:rPr>
          <w:b/>
          <w:sz w:val="24"/>
          <w:szCs w:val="24"/>
          <w:u w:val="single"/>
        </w:rPr>
      </w:pPr>
      <w:r w:rsidRPr="003A3E44">
        <w:rPr>
          <w:b/>
          <w:sz w:val="24"/>
          <w:szCs w:val="24"/>
          <w:u w:val="single"/>
        </w:rPr>
        <w:t>Antibiotic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51"/>
        <w:gridCol w:w="2288"/>
        <w:gridCol w:w="4020"/>
        <w:gridCol w:w="1559"/>
        <w:gridCol w:w="2126"/>
        <w:gridCol w:w="2126"/>
        <w:gridCol w:w="2835"/>
      </w:tblGrid>
      <w:tr w:rsidR="007C513F" w:rsidRPr="007C513F" w:rsidTr="006A0BA2">
        <w:tc>
          <w:tcPr>
            <w:tcW w:w="2051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Trade Name</w:t>
            </w:r>
          </w:p>
        </w:tc>
        <w:tc>
          <w:tcPr>
            <w:tcW w:w="2288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Drug Name</w:t>
            </w:r>
          </w:p>
        </w:tc>
        <w:tc>
          <w:tcPr>
            <w:tcW w:w="4020" w:type="dxa"/>
          </w:tcPr>
          <w:p w:rsidR="007C513F" w:rsidRPr="007C513F" w:rsidRDefault="007C513F" w:rsidP="006A0BA2">
            <w:pPr>
              <w:jc w:val="both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Indications</w:t>
            </w:r>
          </w:p>
        </w:tc>
        <w:tc>
          <w:tcPr>
            <w:tcW w:w="1559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Administration</w:t>
            </w:r>
          </w:p>
        </w:tc>
        <w:tc>
          <w:tcPr>
            <w:tcW w:w="2126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Withdrawal time</w:t>
            </w:r>
          </w:p>
        </w:tc>
        <w:tc>
          <w:tcPr>
            <w:tcW w:w="2126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Contraindications</w:t>
            </w:r>
          </w:p>
        </w:tc>
        <w:tc>
          <w:tcPr>
            <w:tcW w:w="2835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Drug interaction</w:t>
            </w:r>
          </w:p>
        </w:tc>
      </w:tr>
      <w:tr w:rsidR="007C513F" w:rsidRPr="007C513F" w:rsidTr="006A0BA2">
        <w:tc>
          <w:tcPr>
            <w:tcW w:w="2051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C513F">
              <w:rPr>
                <w:rFonts w:ascii="Calibri" w:eastAsia="Calibri" w:hAnsi="Calibri" w:cs="Times New Roman"/>
              </w:rPr>
              <w:t>Combikel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40 L.A</w:t>
            </w:r>
          </w:p>
        </w:tc>
        <w:tc>
          <w:tcPr>
            <w:tcW w:w="2288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C513F">
              <w:rPr>
                <w:rFonts w:ascii="Calibri" w:eastAsia="Calibri" w:hAnsi="Calibri" w:cs="Times New Roman"/>
              </w:rPr>
              <w:t>PenStrep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(Penicillin &amp; Streptomycin</w:t>
            </w:r>
          </w:p>
        </w:tc>
        <w:tc>
          <w:tcPr>
            <w:tcW w:w="4020" w:type="dxa"/>
          </w:tcPr>
          <w:p w:rsidR="007C513F" w:rsidRPr="007C513F" w:rsidRDefault="007C513F" w:rsidP="006A0BA2">
            <w:pPr>
              <w:jc w:val="both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 xml:space="preserve">Prevention and treatment of infections caused by penicillin G and/or DHS susceptible microorganisms such as respiratory tract infections (shipping fever,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bronchopneumonias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, upper respiratory tract infections),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uro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-genital tract infections (e.g. pyelonephritis by Corynebacterium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renale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, endometritis), infections of skin and wounds, streptococci infections in horses (strangles, Str.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zooepidemicus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infections in foals), erysipelas in pigs,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panaritium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necrobacillosis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in calves and piglets, anaerobe infections (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clostridial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infections, tetanus, anthrax), polyarthritis (navel ill), mastitis,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septicaemia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>, bacterial infections secondary to viral ones. The drug also can be used in postoperative prevention of infections.</w:t>
            </w:r>
          </w:p>
        </w:tc>
        <w:tc>
          <w:tcPr>
            <w:tcW w:w="1559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IM &amp; SC</w:t>
            </w:r>
          </w:p>
        </w:tc>
        <w:tc>
          <w:tcPr>
            <w:tcW w:w="2126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Slaughter- 30 days.  Milk: 10 days</w:t>
            </w:r>
          </w:p>
        </w:tc>
        <w:tc>
          <w:tcPr>
            <w:tcW w:w="2126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5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C513F" w:rsidRPr="007C513F" w:rsidTr="006A0BA2">
        <w:tc>
          <w:tcPr>
            <w:tcW w:w="2051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C513F">
              <w:rPr>
                <w:rFonts w:ascii="Calibri" w:eastAsia="Calibri" w:hAnsi="Calibri" w:cs="Times New Roman"/>
              </w:rPr>
              <w:t>Marbocyl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10%</w:t>
            </w:r>
          </w:p>
        </w:tc>
        <w:tc>
          <w:tcPr>
            <w:tcW w:w="2288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C513F">
              <w:rPr>
                <w:rFonts w:ascii="Calibri" w:eastAsia="Calibri" w:hAnsi="Calibri" w:cs="Times New Roman"/>
              </w:rPr>
              <w:t>Marbofloxacin</w:t>
            </w:r>
            <w:proofErr w:type="spellEnd"/>
          </w:p>
        </w:tc>
        <w:tc>
          <w:tcPr>
            <w:tcW w:w="4020" w:type="dxa"/>
          </w:tcPr>
          <w:p w:rsidR="007C513F" w:rsidRPr="007C513F" w:rsidRDefault="007C513F" w:rsidP="006A0BA2">
            <w:pPr>
              <w:jc w:val="both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 xml:space="preserve">Cattle- Treatment of respiratory infections caused by sensitive strains of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Pasteurella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multocida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Mannheimia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(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Pasteurella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)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haemolytica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and Mycoplasma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bovis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. Treatment of acute mastitis caused by E. coli strains sensitive to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marbofloxacin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during the lactation period.</w:t>
            </w:r>
          </w:p>
          <w:p w:rsidR="007C513F" w:rsidRPr="007C513F" w:rsidRDefault="007C513F" w:rsidP="006A0BA2">
            <w:pPr>
              <w:jc w:val="both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 xml:space="preserve">Pigs-Treatment of Metritis Mastitis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Agalactia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Syndrome caused by bacterial strains sensitive to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marbofloxacin</w:t>
            </w:r>
            <w:proofErr w:type="spellEnd"/>
          </w:p>
        </w:tc>
        <w:tc>
          <w:tcPr>
            <w:tcW w:w="1559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Cattle- IM, SC or IV. Pigs-IM</w:t>
            </w:r>
          </w:p>
        </w:tc>
        <w:tc>
          <w:tcPr>
            <w:tcW w:w="2126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Milk- 36 hrs. Meat- Cattle 6 days and pig 4 days</w:t>
            </w:r>
          </w:p>
        </w:tc>
        <w:tc>
          <w:tcPr>
            <w:tcW w:w="2126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 xml:space="preserve">Bacterial infections with resistance to other fluoroquinolones (cross resistance). Do not administer to an animal previously found to be hypersensitive to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marbofloxacin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or other quinolone</w:t>
            </w:r>
          </w:p>
        </w:tc>
        <w:tc>
          <w:tcPr>
            <w:tcW w:w="2835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C513F" w:rsidRPr="007C513F" w:rsidTr="006A0BA2">
        <w:tc>
          <w:tcPr>
            <w:tcW w:w="2051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lastRenderedPageBreak/>
              <w:t>Amoxicillin 150 LA</w:t>
            </w:r>
          </w:p>
        </w:tc>
        <w:tc>
          <w:tcPr>
            <w:tcW w:w="2288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Amoxicillin</w:t>
            </w:r>
          </w:p>
        </w:tc>
        <w:tc>
          <w:tcPr>
            <w:tcW w:w="4020" w:type="dxa"/>
          </w:tcPr>
          <w:p w:rsidR="007C513F" w:rsidRPr="007C513F" w:rsidRDefault="007C513F" w:rsidP="006A0BA2">
            <w:pPr>
              <w:jc w:val="both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 xml:space="preserve">Treatment of infections caused by organisms sensitive to amoxicillin in sheep, pigs and cattle. Susceptible genera include Staphylococcus, Streptococcus,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Trueperella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, Clostridium, Escherichia,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Klebsiella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Shigella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, Salmonella, Proteus, and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Pasteurella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559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IM only</w:t>
            </w:r>
          </w:p>
        </w:tc>
        <w:tc>
          <w:tcPr>
            <w:tcW w:w="2126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Milk- 60 hrs. Meat- 14 days</w:t>
            </w:r>
          </w:p>
        </w:tc>
        <w:tc>
          <w:tcPr>
            <w:tcW w:w="2126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The product is not suitable for intravenous or intrathecal administration</w:t>
            </w:r>
          </w:p>
        </w:tc>
        <w:tc>
          <w:tcPr>
            <w:tcW w:w="2835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C513F" w:rsidRPr="007C513F" w:rsidTr="006A0BA2">
        <w:tc>
          <w:tcPr>
            <w:tcW w:w="2051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C513F">
              <w:rPr>
                <w:rFonts w:ascii="Calibri" w:eastAsia="Calibri" w:hAnsi="Calibri" w:cs="Times New Roman"/>
              </w:rPr>
              <w:t>Enroflox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5%</w:t>
            </w:r>
          </w:p>
        </w:tc>
        <w:tc>
          <w:tcPr>
            <w:tcW w:w="2288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C513F">
              <w:rPr>
                <w:rFonts w:ascii="Calibri" w:eastAsia="Calibri" w:hAnsi="Calibri" w:cs="Times New Roman"/>
              </w:rPr>
              <w:t>Enrofloxacin</w:t>
            </w:r>
            <w:proofErr w:type="spellEnd"/>
          </w:p>
        </w:tc>
        <w:tc>
          <w:tcPr>
            <w:tcW w:w="4020" w:type="dxa"/>
          </w:tcPr>
          <w:p w:rsidR="007C513F" w:rsidRPr="007C513F" w:rsidRDefault="007C513F" w:rsidP="006A0BA2">
            <w:pPr>
              <w:jc w:val="both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 xml:space="preserve">for the treatment of bovine respiratory disease (BRD) associated with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Mannheimia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haemolytica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Pasteurella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multocida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Histophilus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somni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and Mycoplasma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bovis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in beef and non-lactating dairy cattle; and for the control of BRD in beef and non-lactating dairy cattle at high risk of developing BRD associated with M.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haemolytica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, P.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multocida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, H.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somni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and M.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bovis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. Treatment and control of swine respiratory disease (SRD) associated with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Actinobacillus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pleuropneumoniae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Pasteurella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multocida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Haemophilus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parasuis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and Streptococcus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suis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559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IM or SC</w:t>
            </w:r>
          </w:p>
        </w:tc>
        <w:tc>
          <w:tcPr>
            <w:tcW w:w="2126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Cattle: Meat and offal: 12 days. Milk: 4 days. Pigs: Meat and offal: 13 days.</w:t>
            </w:r>
          </w:p>
        </w:tc>
        <w:tc>
          <w:tcPr>
            <w:tcW w:w="2126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 xml:space="preserve">Do not use in animals with known hypersensitivity to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enrofloxacin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or other fluoroquinolones or to any of the excipients. Do not use in growing horses because of possible deleterious damage on articular cartilage.</w:t>
            </w:r>
          </w:p>
        </w:tc>
        <w:tc>
          <w:tcPr>
            <w:tcW w:w="2835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 xml:space="preserve">Do not use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enrofloxacin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concomitantly with antimicrobial substances acting antagonistically to quinolones (e.g. macrolides,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tetracyclines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or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phenicols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). Do not use concurrently with theophylline as the elimination of theophylline may be </w:t>
            </w:r>
            <w:proofErr w:type="gramStart"/>
            <w:r w:rsidRPr="007C513F">
              <w:rPr>
                <w:rFonts w:ascii="Calibri" w:eastAsia="Calibri" w:hAnsi="Calibri" w:cs="Times New Roman"/>
              </w:rPr>
              <w:t>delayed.</w:t>
            </w:r>
            <w:proofErr w:type="gramEnd"/>
          </w:p>
        </w:tc>
      </w:tr>
      <w:tr w:rsidR="007C513F" w:rsidRPr="007C513F" w:rsidTr="006A0BA2">
        <w:tc>
          <w:tcPr>
            <w:tcW w:w="2051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C513F">
              <w:rPr>
                <w:rFonts w:ascii="Calibri" w:eastAsia="Calibri" w:hAnsi="Calibri" w:cs="Times New Roman"/>
              </w:rPr>
              <w:t>Kelacyl</w:t>
            </w:r>
            <w:proofErr w:type="spellEnd"/>
          </w:p>
        </w:tc>
        <w:tc>
          <w:tcPr>
            <w:tcW w:w="2288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C513F">
              <w:rPr>
                <w:rFonts w:ascii="Calibri" w:eastAsia="Calibri" w:hAnsi="Calibri" w:cs="Times New Roman"/>
              </w:rPr>
              <w:t>Marbofloxacin</w:t>
            </w:r>
            <w:proofErr w:type="spellEnd"/>
          </w:p>
        </w:tc>
        <w:tc>
          <w:tcPr>
            <w:tcW w:w="4020" w:type="dxa"/>
          </w:tcPr>
          <w:p w:rsidR="007C513F" w:rsidRPr="007C513F" w:rsidRDefault="007C513F" w:rsidP="006A0BA2">
            <w:pPr>
              <w:jc w:val="both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 xml:space="preserve">Cattle- treatment of respiratory infections caused by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marbofloxacin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sensitive bacteria. Treatment of acute clinical mastitis during lactation. Pigs- treatment of respiratory infections caused by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marbofloxacin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sensitive bacteria. Treatment of MMA syndrome.</w:t>
            </w:r>
          </w:p>
        </w:tc>
        <w:tc>
          <w:tcPr>
            <w:tcW w:w="1559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IM or SC. First injection may be given IV in cattle.</w:t>
            </w:r>
          </w:p>
        </w:tc>
        <w:tc>
          <w:tcPr>
            <w:tcW w:w="2126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Cattle- meat 6 days, milk- 36 hrs. Pigs- meat 4 days</w:t>
            </w:r>
          </w:p>
        </w:tc>
        <w:tc>
          <w:tcPr>
            <w:tcW w:w="2126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Do not use in patients with hypersensitivity to active ingredient. IM route may cause inflammatory reaction.</w:t>
            </w:r>
          </w:p>
        </w:tc>
        <w:tc>
          <w:tcPr>
            <w:tcW w:w="2835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Compounds containing divalent and trivalent cations can interfere with the absorption of quinolones.</w:t>
            </w:r>
          </w:p>
        </w:tc>
      </w:tr>
      <w:tr w:rsidR="007C513F" w:rsidRPr="007C513F" w:rsidTr="006A0BA2">
        <w:tc>
          <w:tcPr>
            <w:tcW w:w="2051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C513F">
              <w:rPr>
                <w:rFonts w:ascii="Calibri" w:eastAsia="Calibri" w:hAnsi="Calibri" w:cs="Times New Roman"/>
              </w:rPr>
              <w:t>Anflox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10%</w:t>
            </w:r>
          </w:p>
        </w:tc>
        <w:tc>
          <w:tcPr>
            <w:tcW w:w="2288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C513F">
              <w:rPr>
                <w:rFonts w:ascii="Calibri" w:eastAsia="Calibri" w:hAnsi="Calibri" w:cs="Times New Roman"/>
              </w:rPr>
              <w:t>Norfloxacin</w:t>
            </w:r>
            <w:proofErr w:type="spellEnd"/>
          </w:p>
        </w:tc>
        <w:tc>
          <w:tcPr>
            <w:tcW w:w="4020" w:type="dxa"/>
          </w:tcPr>
          <w:p w:rsidR="007C513F" w:rsidRPr="007C513F" w:rsidRDefault="007C513F" w:rsidP="006A0BA2">
            <w:pPr>
              <w:jc w:val="both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 xml:space="preserve"> Active against gram negative bacteria and mycoplasma. For respiratory, urinary and intestinal disease</w:t>
            </w:r>
          </w:p>
        </w:tc>
        <w:tc>
          <w:tcPr>
            <w:tcW w:w="1559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IM or SC</w:t>
            </w:r>
          </w:p>
        </w:tc>
        <w:tc>
          <w:tcPr>
            <w:tcW w:w="2126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Milk &amp; meat- 4 days</w:t>
            </w:r>
          </w:p>
        </w:tc>
        <w:tc>
          <w:tcPr>
            <w:tcW w:w="2126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Do not use in patients with hypersensitivity</w:t>
            </w:r>
          </w:p>
        </w:tc>
        <w:tc>
          <w:tcPr>
            <w:tcW w:w="2835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C513F" w:rsidRPr="007C513F" w:rsidTr="006A0BA2">
        <w:tc>
          <w:tcPr>
            <w:tcW w:w="2051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C513F">
              <w:rPr>
                <w:rFonts w:ascii="Calibri" w:eastAsia="Calibri" w:hAnsi="Calibri" w:cs="Times New Roman"/>
              </w:rPr>
              <w:t>Oxytet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LA 10%</w:t>
            </w:r>
          </w:p>
        </w:tc>
        <w:tc>
          <w:tcPr>
            <w:tcW w:w="2288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C513F">
              <w:rPr>
                <w:rFonts w:ascii="Calibri" w:eastAsia="Calibri" w:hAnsi="Calibri" w:cs="Times New Roman"/>
              </w:rPr>
              <w:t>Oxytetracycline</w:t>
            </w:r>
            <w:proofErr w:type="spellEnd"/>
          </w:p>
        </w:tc>
        <w:tc>
          <w:tcPr>
            <w:tcW w:w="4020" w:type="dxa"/>
          </w:tcPr>
          <w:p w:rsidR="007C513F" w:rsidRPr="007C513F" w:rsidRDefault="007C513F" w:rsidP="006A0BA2">
            <w:pPr>
              <w:jc w:val="both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 xml:space="preserve">A broad spectrum antibiotic with activity against a range of Gram + and Gram – bacteria. Particularly used for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E.colli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</w:t>
            </w:r>
            <w:r w:rsidRPr="007C513F">
              <w:rPr>
                <w:rFonts w:ascii="Calibri" w:eastAsia="Calibri" w:hAnsi="Calibri" w:cs="Times New Roman"/>
              </w:rPr>
              <w:lastRenderedPageBreak/>
              <w:t xml:space="preserve">Staphylococcus,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Haemophillus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, Bordetella,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Pasturalla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, Campylobacter, Salmonella,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Micoplasma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, Rickettsia and Chlamydia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spp</w:t>
            </w:r>
            <w:proofErr w:type="spellEnd"/>
          </w:p>
        </w:tc>
        <w:tc>
          <w:tcPr>
            <w:tcW w:w="1559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lastRenderedPageBreak/>
              <w:t xml:space="preserve">SC and IM in cattle, calves, </w:t>
            </w:r>
            <w:r w:rsidRPr="007C513F">
              <w:rPr>
                <w:rFonts w:ascii="Calibri" w:eastAsia="Calibri" w:hAnsi="Calibri" w:cs="Times New Roman"/>
              </w:rPr>
              <w:lastRenderedPageBreak/>
              <w:t>pigs, sheep and goat</w:t>
            </w:r>
          </w:p>
        </w:tc>
        <w:tc>
          <w:tcPr>
            <w:tcW w:w="2126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lastRenderedPageBreak/>
              <w:t>Meat - 28 days. Milk - 7 days</w:t>
            </w:r>
          </w:p>
        </w:tc>
        <w:tc>
          <w:tcPr>
            <w:tcW w:w="2126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 xml:space="preserve">Hypersensitivity reactions in allergic animals may be fatal. </w:t>
            </w:r>
            <w:r w:rsidRPr="007C513F">
              <w:rPr>
                <w:rFonts w:ascii="Calibri" w:eastAsia="Calibri" w:hAnsi="Calibri" w:cs="Times New Roman"/>
              </w:rPr>
              <w:lastRenderedPageBreak/>
              <w:t>Pregnant animals that recovery may subsequently abort</w:t>
            </w:r>
          </w:p>
        </w:tc>
        <w:tc>
          <w:tcPr>
            <w:tcW w:w="2835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C513F" w:rsidRPr="007C513F" w:rsidTr="006A0BA2">
        <w:tc>
          <w:tcPr>
            <w:tcW w:w="2051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C513F">
              <w:rPr>
                <w:rFonts w:ascii="Calibri" w:eastAsia="Calibri" w:hAnsi="Calibri" w:cs="Times New Roman"/>
              </w:rPr>
              <w:t>Cifran</w:t>
            </w:r>
            <w:proofErr w:type="spellEnd"/>
          </w:p>
        </w:tc>
        <w:tc>
          <w:tcPr>
            <w:tcW w:w="2288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Ciprofloxacin</w:t>
            </w:r>
          </w:p>
        </w:tc>
        <w:tc>
          <w:tcPr>
            <w:tcW w:w="4020" w:type="dxa"/>
          </w:tcPr>
          <w:p w:rsidR="007C513F" w:rsidRPr="007C513F" w:rsidRDefault="007C513F" w:rsidP="006A0BA2">
            <w:pPr>
              <w:jc w:val="both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Broad spectrum antibiotic against infections such as lower respiratory tract infections, skin infections and urinary infections</w:t>
            </w:r>
          </w:p>
        </w:tc>
        <w:tc>
          <w:tcPr>
            <w:tcW w:w="1559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IV only</w:t>
            </w:r>
          </w:p>
        </w:tc>
        <w:tc>
          <w:tcPr>
            <w:tcW w:w="2126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Hypersensitivity reaction</w:t>
            </w:r>
          </w:p>
        </w:tc>
        <w:tc>
          <w:tcPr>
            <w:tcW w:w="2835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 xml:space="preserve">Do not use ciprofloxacin with antacids such as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cyclosporing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and theophylline</w:t>
            </w:r>
          </w:p>
        </w:tc>
      </w:tr>
      <w:tr w:rsidR="007C513F" w:rsidRPr="007C513F" w:rsidTr="006A0BA2">
        <w:tc>
          <w:tcPr>
            <w:tcW w:w="2051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C513F">
              <w:rPr>
                <w:rFonts w:ascii="Calibri" w:eastAsia="Calibri" w:hAnsi="Calibri" w:cs="Times New Roman"/>
              </w:rPr>
              <w:t>Tylosin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200</w:t>
            </w:r>
          </w:p>
        </w:tc>
        <w:tc>
          <w:tcPr>
            <w:tcW w:w="2288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020" w:type="dxa"/>
          </w:tcPr>
          <w:p w:rsidR="007C513F" w:rsidRPr="007C513F" w:rsidRDefault="007C513F" w:rsidP="006A0BA2">
            <w:pPr>
              <w:jc w:val="both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 xml:space="preserve">Treatment of infections caused by manly Gram + bacteria and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micoplasmas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including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broncho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-pneumonia, synovitis, arthritis,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metrithis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>, leptospirosis and foot rot</w:t>
            </w:r>
          </w:p>
        </w:tc>
        <w:tc>
          <w:tcPr>
            <w:tcW w:w="1559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IM or SC</w:t>
            </w:r>
          </w:p>
        </w:tc>
        <w:tc>
          <w:tcPr>
            <w:tcW w:w="2126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Meat and Milk for 5 days</w:t>
            </w:r>
          </w:p>
        </w:tc>
        <w:tc>
          <w:tcPr>
            <w:tcW w:w="2126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Hypersensitivity and irritation and pain at injection site</w:t>
            </w:r>
          </w:p>
        </w:tc>
        <w:tc>
          <w:tcPr>
            <w:tcW w:w="2835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 xml:space="preserve">May increase digitalis blood level and thus, its toxicity and may be antagonistic to chloramphenicol or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lincosamidas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>.</w:t>
            </w:r>
          </w:p>
        </w:tc>
      </w:tr>
      <w:tr w:rsidR="007C513F" w:rsidRPr="007C513F" w:rsidTr="006A0BA2">
        <w:tc>
          <w:tcPr>
            <w:tcW w:w="2051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Gentamycin 100</w:t>
            </w:r>
          </w:p>
        </w:tc>
        <w:tc>
          <w:tcPr>
            <w:tcW w:w="2288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020" w:type="dxa"/>
          </w:tcPr>
          <w:p w:rsidR="007C513F" w:rsidRPr="007C513F" w:rsidRDefault="007C513F" w:rsidP="006A0BA2">
            <w:pPr>
              <w:jc w:val="both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Treatment against severe bacterial infections and infections caused by organisms resistant to other antibiotics. Has high efficacy against a wide range of Gram + and Gram – bacteria including urinary tract and respiratory infections, gastrointestinal, skin and tissue, uterus infections</w:t>
            </w:r>
          </w:p>
        </w:tc>
        <w:tc>
          <w:tcPr>
            <w:tcW w:w="1559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IM or slow IV injection</w:t>
            </w:r>
          </w:p>
        </w:tc>
        <w:tc>
          <w:tcPr>
            <w:tcW w:w="2126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Meat – 7 days, Milk – 3 days</w:t>
            </w:r>
          </w:p>
        </w:tc>
        <w:tc>
          <w:tcPr>
            <w:tcW w:w="2126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 xml:space="preserve">Do not use in known cases or renal impairment. Do not use in pregnant animals and in known cases of sensitivity to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gentamcin</w:t>
            </w:r>
            <w:proofErr w:type="spellEnd"/>
          </w:p>
        </w:tc>
        <w:tc>
          <w:tcPr>
            <w:tcW w:w="2835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C513F" w:rsidRPr="007C513F" w:rsidTr="006A0BA2">
        <w:tc>
          <w:tcPr>
            <w:tcW w:w="2051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C513F">
              <w:rPr>
                <w:rFonts w:ascii="Calibri" w:eastAsia="Calibri" w:hAnsi="Calibri" w:cs="Times New Roman"/>
              </w:rPr>
              <w:t>Metricyclin</w:t>
            </w:r>
            <w:proofErr w:type="spellEnd"/>
          </w:p>
        </w:tc>
        <w:tc>
          <w:tcPr>
            <w:tcW w:w="2288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Chlortetracycline</w:t>
            </w:r>
          </w:p>
        </w:tc>
        <w:tc>
          <w:tcPr>
            <w:tcW w:w="4020" w:type="dxa"/>
          </w:tcPr>
          <w:p w:rsidR="007C513F" w:rsidRPr="007C513F" w:rsidRDefault="007C513F" w:rsidP="006A0BA2">
            <w:pPr>
              <w:jc w:val="both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Prophylactic and therapeutic treatment of puerperal infections caused by chlortetracycline sensitive micro-organisms in cattle. The boluses are intended for prevention and treatment of uterine infection.</w:t>
            </w:r>
          </w:p>
        </w:tc>
        <w:tc>
          <w:tcPr>
            <w:tcW w:w="1559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Intrauterine</w:t>
            </w:r>
          </w:p>
        </w:tc>
        <w:tc>
          <w:tcPr>
            <w:tcW w:w="2126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Milk – 4 days, Meat – 10 days</w:t>
            </w:r>
          </w:p>
        </w:tc>
        <w:tc>
          <w:tcPr>
            <w:tcW w:w="2126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Should only be administered when cervix is sufficiently opened (shortly after calving).</w:t>
            </w:r>
          </w:p>
        </w:tc>
        <w:tc>
          <w:tcPr>
            <w:tcW w:w="2835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C513F" w:rsidRPr="007C513F" w:rsidTr="006A0BA2">
        <w:tc>
          <w:tcPr>
            <w:tcW w:w="2051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C513F">
              <w:rPr>
                <w:rFonts w:ascii="Calibri" w:eastAsia="Calibri" w:hAnsi="Calibri" w:cs="Times New Roman"/>
              </w:rPr>
              <w:t>Cefokel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50 mg</w:t>
            </w:r>
          </w:p>
        </w:tc>
        <w:tc>
          <w:tcPr>
            <w:tcW w:w="2288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C513F">
              <w:rPr>
                <w:rFonts w:ascii="Calibri" w:eastAsia="Calibri" w:hAnsi="Calibri" w:cs="Times New Roman"/>
              </w:rPr>
              <w:t>Ceftiofur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(as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HCl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4020" w:type="dxa"/>
          </w:tcPr>
          <w:p w:rsidR="007C513F" w:rsidRPr="007C513F" w:rsidRDefault="007C513F" w:rsidP="006A0BA2">
            <w:pPr>
              <w:jc w:val="both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 xml:space="preserve">In Cattle - Treatment of bacterial respiratory diseases associated with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Mannheimia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haemolytica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Pasteurallamultocida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and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Histophilus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somni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. For treatment of acute interdigital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necrobacillosis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. For treatment of bacterial component of acute postpartum metritis within 10 days after calving. </w:t>
            </w:r>
          </w:p>
          <w:p w:rsidR="007C513F" w:rsidRPr="007C513F" w:rsidRDefault="007C513F" w:rsidP="006A0BA2">
            <w:pPr>
              <w:jc w:val="both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lastRenderedPageBreak/>
              <w:t xml:space="preserve">In pigs - Treatment of bacterial respiratory disease associated with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Pasteurella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multocida</w:t>
            </w:r>
            <w:proofErr w:type="gramStart"/>
            <w:r w:rsidRPr="007C513F">
              <w:rPr>
                <w:rFonts w:ascii="Calibri" w:eastAsia="Calibri" w:hAnsi="Calibri" w:cs="Times New Roman"/>
              </w:rPr>
              <w:t>,Actinobacillus</w:t>
            </w:r>
            <w:proofErr w:type="spellEnd"/>
            <w:proofErr w:type="gramEnd"/>
            <w:r w:rsidRPr="007C513F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pleuropneumoniae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and Streptococcus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suis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559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lastRenderedPageBreak/>
              <w:t>SC in cattle and IM in pigs</w:t>
            </w:r>
          </w:p>
        </w:tc>
        <w:tc>
          <w:tcPr>
            <w:tcW w:w="2126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Pigs (meat) – 5 days, cattle (meat) – 8 days, cattle (milk) – 0 hours</w:t>
            </w:r>
          </w:p>
        </w:tc>
        <w:tc>
          <w:tcPr>
            <w:tcW w:w="2126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 xml:space="preserve">Do not use in hypersensitive animals. Do not use IV. Do not use where resistance to other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cephalosporins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has occurred.</w:t>
            </w:r>
          </w:p>
        </w:tc>
        <w:tc>
          <w:tcPr>
            <w:tcW w:w="2835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 xml:space="preserve">: Bactericidal properties are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neutralised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by simultaneous use of bacteriostatic antibiotics.</w:t>
            </w:r>
          </w:p>
        </w:tc>
      </w:tr>
      <w:tr w:rsidR="007C513F" w:rsidRPr="007C513F" w:rsidTr="006A0BA2">
        <w:tc>
          <w:tcPr>
            <w:tcW w:w="2051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C513F">
              <w:rPr>
                <w:rFonts w:ascii="Calibri" w:eastAsia="Calibri" w:hAnsi="Calibri" w:cs="Times New Roman"/>
              </w:rPr>
              <w:t>Micotil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300</w:t>
            </w:r>
          </w:p>
        </w:tc>
        <w:tc>
          <w:tcPr>
            <w:tcW w:w="2288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C513F">
              <w:rPr>
                <w:rFonts w:ascii="Calibri" w:eastAsia="Calibri" w:hAnsi="Calibri" w:cs="Times New Roman"/>
              </w:rPr>
              <w:t>Tilmicosil</w:t>
            </w:r>
            <w:proofErr w:type="spellEnd"/>
          </w:p>
        </w:tc>
        <w:tc>
          <w:tcPr>
            <w:tcW w:w="4020" w:type="dxa"/>
          </w:tcPr>
          <w:p w:rsidR="007C513F" w:rsidRPr="007C513F" w:rsidRDefault="007C513F" w:rsidP="006A0BA2">
            <w:pPr>
              <w:jc w:val="both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Treatment of bovine respiratory disease and ovine respiratory disease</w:t>
            </w:r>
          </w:p>
        </w:tc>
        <w:tc>
          <w:tcPr>
            <w:tcW w:w="1559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SC in cattle and sheep</w:t>
            </w:r>
          </w:p>
        </w:tc>
        <w:tc>
          <w:tcPr>
            <w:tcW w:w="2126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Meat – 42 days</w:t>
            </w:r>
          </w:p>
        </w:tc>
        <w:tc>
          <w:tcPr>
            <w:tcW w:w="2126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Do not administer IV (fatal). Cardiovascular system should be monitored for toxicity</w:t>
            </w:r>
          </w:p>
        </w:tc>
        <w:tc>
          <w:tcPr>
            <w:tcW w:w="2835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C513F" w:rsidRPr="007C513F" w:rsidTr="006A0BA2">
        <w:tc>
          <w:tcPr>
            <w:tcW w:w="2051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C513F">
              <w:rPr>
                <w:rFonts w:ascii="Calibri" w:eastAsia="Calibri" w:hAnsi="Calibri" w:cs="Times New Roman"/>
              </w:rPr>
              <w:t>Duphamox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LA</w:t>
            </w:r>
          </w:p>
        </w:tc>
        <w:tc>
          <w:tcPr>
            <w:tcW w:w="2288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 xml:space="preserve">Amoxicillin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Trihydrate</w:t>
            </w:r>
            <w:proofErr w:type="spellEnd"/>
          </w:p>
        </w:tc>
        <w:tc>
          <w:tcPr>
            <w:tcW w:w="4020" w:type="dxa"/>
          </w:tcPr>
          <w:p w:rsidR="007C513F" w:rsidRPr="007C513F" w:rsidRDefault="007C513F" w:rsidP="006A0BA2">
            <w:pPr>
              <w:jc w:val="both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Treatment and control against a wide range of Gram + and Gram – bacteria. Not effective against beta-lactamase producing organisms.</w:t>
            </w:r>
          </w:p>
        </w:tc>
        <w:tc>
          <w:tcPr>
            <w:tcW w:w="1559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IM</w:t>
            </w:r>
          </w:p>
        </w:tc>
        <w:tc>
          <w:tcPr>
            <w:tcW w:w="2126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Cattle (meat) – 23 days, cattle (milk) – 84 hours, sheep and pigs (meat) – 16 days</w:t>
            </w:r>
          </w:p>
        </w:tc>
        <w:tc>
          <w:tcPr>
            <w:tcW w:w="2126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Not for use in animals sensitive to penicillin. Do not use IV</w:t>
            </w:r>
          </w:p>
        </w:tc>
        <w:tc>
          <w:tcPr>
            <w:tcW w:w="2835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C513F" w:rsidRPr="007C513F" w:rsidTr="006A0BA2">
        <w:tc>
          <w:tcPr>
            <w:tcW w:w="2051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C513F">
              <w:rPr>
                <w:rFonts w:ascii="Calibri" w:eastAsia="Calibri" w:hAnsi="Calibri" w:cs="Times New Roman"/>
              </w:rPr>
              <w:t>Scourban</w:t>
            </w:r>
            <w:proofErr w:type="spellEnd"/>
          </w:p>
        </w:tc>
        <w:tc>
          <w:tcPr>
            <w:tcW w:w="2288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020" w:type="dxa"/>
          </w:tcPr>
          <w:p w:rsidR="007C513F" w:rsidRPr="007C513F" w:rsidRDefault="007C513F" w:rsidP="006A0BA2">
            <w:pPr>
              <w:jc w:val="both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 xml:space="preserve">Treatment of bacterial infections causing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gastrointerisis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and scour/pneumonia complex, susceptible to </w:t>
            </w:r>
            <w:proofErr w:type="spellStart"/>
            <w:r w:rsidRPr="007C513F">
              <w:rPr>
                <w:rFonts w:ascii="Calibri" w:eastAsia="Calibri" w:hAnsi="Calibri" w:cs="Times New Roman"/>
              </w:rPr>
              <w:t>sulphonamide</w:t>
            </w:r>
            <w:proofErr w:type="spellEnd"/>
            <w:r w:rsidRPr="007C513F">
              <w:rPr>
                <w:rFonts w:ascii="Calibri" w:eastAsia="Calibri" w:hAnsi="Calibri" w:cs="Times New Roman"/>
              </w:rPr>
              <w:t xml:space="preserve"> antibiotics. For restoring electrolyte loss, reducing intestinal mobility and eliminations of bacterial toxins</w:t>
            </w:r>
          </w:p>
        </w:tc>
        <w:tc>
          <w:tcPr>
            <w:tcW w:w="1559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Oral</w:t>
            </w:r>
          </w:p>
        </w:tc>
        <w:tc>
          <w:tcPr>
            <w:tcW w:w="2126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  <w:r w:rsidRPr="007C513F">
              <w:rPr>
                <w:rFonts w:ascii="Calibri" w:eastAsia="Calibri" w:hAnsi="Calibri" w:cs="Times New Roman"/>
              </w:rPr>
              <w:t>Meat – 14 days, Milk – 35 days</w:t>
            </w:r>
          </w:p>
        </w:tc>
        <w:tc>
          <w:tcPr>
            <w:tcW w:w="2126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5" w:type="dxa"/>
          </w:tcPr>
          <w:p w:rsidR="007C513F" w:rsidRPr="007C513F" w:rsidRDefault="007C513F" w:rsidP="007C513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DC2197" w:rsidRDefault="003A3E44"/>
    <w:sectPr w:rsidR="00DC2197" w:rsidSect="007C513F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3F"/>
    <w:rsid w:val="00012DE9"/>
    <w:rsid w:val="003A3E44"/>
    <w:rsid w:val="006A0BA2"/>
    <w:rsid w:val="007C513F"/>
    <w:rsid w:val="00A4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0802EA-B7B3-4977-8418-7F81FA07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unhideWhenUsed/>
    <w:rsid w:val="007C513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C5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Tenika Mohammed</dc:creator>
  <cp:keywords/>
  <dc:description/>
  <cp:lastModifiedBy>Tenika Mohammed</cp:lastModifiedBy>
  <cp:revision>1</cp:revision>
  <dcterms:created xsi:type="dcterms:W3CDTF">2016-09-11T02:30:00Z</dcterms:created>
  <dcterms:modified xsi:type="dcterms:W3CDTF">2016-09-11T02:34:00Z</dcterms:modified>
</cp:coreProperties>
</file>