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377" w:rsidRDefault="00596B89" w:rsidP="00596B89">
      <w:pPr>
        <w:jc w:val="center"/>
        <w:rPr>
          <w:b/>
          <w:sz w:val="36"/>
          <w:u w:val="single"/>
        </w:rPr>
      </w:pPr>
      <w:r w:rsidRPr="00596B89">
        <w:rPr>
          <w:b/>
          <w:sz w:val="36"/>
          <w:u w:val="single"/>
        </w:rPr>
        <w:t>DRUG INFORMATION</w:t>
      </w:r>
    </w:p>
    <w:p w:rsidR="00596B89" w:rsidRDefault="00596B89" w:rsidP="00596B89">
      <w:pPr>
        <w:jc w:val="center"/>
        <w:rPr>
          <w:b/>
          <w:sz w:val="36"/>
          <w:u w:val="single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25"/>
        <w:gridCol w:w="2550"/>
        <w:gridCol w:w="4667"/>
        <w:gridCol w:w="5040"/>
        <w:gridCol w:w="2970"/>
        <w:gridCol w:w="3651"/>
      </w:tblGrid>
      <w:tr w:rsidR="00596B89" w:rsidRPr="00AB37A1" w:rsidTr="00324AB0">
        <w:trPr>
          <w:trHeight w:val="711"/>
          <w:tblHeader/>
          <w:jc w:val="center"/>
        </w:trPr>
        <w:tc>
          <w:tcPr>
            <w:tcW w:w="21703" w:type="dxa"/>
            <w:gridSpan w:val="6"/>
            <w:vAlign w:val="center"/>
          </w:tcPr>
          <w:p w:rsidR="00596B89" w:rsidRPr="00AB4CF7" w:rsidRDefault="00596B89" w:rsidP="00324AB0">
            <w:pPr>
              <w:jc w:val="center"/>
              <w:rPr>
                <w:b/>
                <w:color w:val="FF0000"/>
              </w:rPr>
            </w:pPr>
            <w:r w:rsidRPr="00AB4CF7">
              <w:rPr>
                <w:b/>
                <w:color w:val="FF0000"/>
                <w:sz w:val="28"/>
              </w:rPr>
              <w:t>ANALGESIC DRUGS</w:t>
            </w:r>
          </w:p>
        </w:tc>
      </w:tr>
      <w:tr w:rsidR="00596B89" w:rsidRPr="00AB37A1" w:rsidTr="00596B89">
        <w:trPr>
          <w:trHeight w:val="711"/>
          <w:tblHeader/>
          <w:jc w:val="center"/>
        </w:trPr>
        <w:tc>
          <w:tcPr>
            <w:tcW w:w="2825" w:type="dxa"/>
            <w:vAlign w:val="center"/>
          </w:tcPr>
          <w:p w:rsidR="00596B89" w:rsidRPr="00AB37A1" w:rsidRDefault="00596B89" w:rsidP="00324AB0">
            <w:pPr>
              <w:jc w:val="center"/>
              <w:rPr>
                <w:b/>
              </w:rPr>
            </w:pPr>
            <w:r w:rsidRPr="00AB37A1">
              <w:rPr>
                <w:b/>
              </w:rPr>
              <w:t>TRADE</w:t>
            </w:r>
            <w:r>
              <w:rPr>
                <w:b/>
              </w:rPr>
              <w:t xml:space="preserve"> </w:t>
            </w:r>
            <w:r w:rsidRPr="00AB37A1">
              <w:rPr>
                <w:b/>
              </w:rPr>
              <w:t>NAME</w:t>
            </w:r>
          </w:p>
        </w:tc>
        <w:tc>
          <w:tcPr>
            <w:tcW w:w="2550" w:type="dxa"/>
            <w:vAlign w:val="center"/>
          </w:tcPr>
          <w:p w:rsidR="00596B89" w:rsidRPr="00AB37A1" w:rsidRDefault="00596B89" w:rsidP="00324AB0">
            <w:pPr>
              <w:jc w:val="center"/>
              <w:rPr>
                <w:b/>
              </w:rPr>
            </w:pPr>
            <w:r w:rsidRPr="00AB37A1">
              <w:rPr>
                <w:b/>
              </w:rPr>
              <w:t>DRUG NAME</w:t>
            </w:r>
          </w:p>
        </w:tc>
        <w:tc>
          <w:tcPr>
            <w:tcW w:w="4667" w:type="dxa"/>
            <w:vAlign w:val="center"/>
          </w:tcPr>
          <w:p w:rsidR="00596B89" w:rsidRPr="00AB37A1" w:rsidRDefault="00596B89" w:rsidP="00324AB0">
            <w:pPr>
              <w:jc w:val="center"/>
              <w:rPr>
                <w:b/>
              </w:rPr>
            </w:pPr>
            <w:r w:rsidRPr="00AB37A1">
              <w:rPr>
                <w:b/>
              </w:rPr>
              <w:t>INDICATION</w:t>
            </w:r>
          </w:p>
        </w:tc>
        <w:tc>
          <w:tcPr>
            <w:tcW w:w="5040" w:type="dxa"/>
            <w:vAlign w:val="center"/>
          </w:tcPr>
          <w:p w:rsidR="00596B89" w:rsidRPr="00AB37A1" w:rsidRDefault="00596B89" w:rsidP="00324AB0">
            <w:pPr>
              <w:jc w:val="center"/>
              <w:rPr>
                <w:b/>
              </w:rPr>
            </w:pPr>
            <w:r w:rsidRPr="00AB37A1">
              <w:rPr>
                <w:b/>
              </w:rPr>
              <w:t>CONTRAINDICATION</w:t>
            </w:r>
          </w:p>
        </w:tc>
        <w:tc>
          <w:tcPr>
            <w:tcW w:w="2970" w:type="dxa"/>
            <w:vAlign w:val="center"/>
          </w:tcPr>
          <w:p w:rsidR="00596B89" w:rsidRPr="00AB37A1" w:rsidRDefault="00596B89" w:rsidP="00324AB0">
            <w:pPr>
              <w:jc w:val="center"/>
              <w:rPr>
                <w:b/>
              </w:rPr>
            </w:pPr>
            <w:r w:rsidRPr="00AB37A1">
              <w:rPr>
                <w:b/>
              </w:rPr>
              <w:t>WITHDRAW</w:t>
            </w:r>
            <w:r>
              <w:rPr>
                <w:b/>
              </w:rPr>
              <w:t>A</w:t>
            </w:r>
            <w:r w:rsidRPr="00AB37A1">
              <w:rPr>
                <w:b/>
              </w:rPr>
              <w:t>L TIME</w:t>
            </w:r>
          </w:p>
        </w:tc>
        <w:tc>
          <w:tcPr>
            <w:tcW w:w="3651" w:type="dxa"/>
            <w:vAlign w:val="center"/>
          </w:tcPr>
          <w:p w:rsidR="00596B89" w:rsidRPr="00AB37A1" w:rsidRDefault="00596B89" w:rsidP="00324AB0">
            <w:pPr>
              <w:jc w:val="center"/>
              <w:rPr>
                <w:b/>
              </w:rPr>
            </w:pPr>
            <w:r w:rsidRPr="00AB37A1">
              <w:rPr>
                <w:b/>
              </w:rPr>
              <w:t>MAJOR DRUG INTERACTIONS</w:t>
            </w:r>
          </w:p>
        </w:tc>
      </w:tr>
      <w:tr w:rsidR="00596B89" w:rsidTr="00596B89">
        <w:trPr>
          <w:cantSplit/>
          <w:trHeight w:val="1039"/>
          <w:jc w:val="center"/>
        </w:trPr>
        <w:tc>
          <w:tcPr>
            <w:tcW w:w="2825" w:type="dxa"/>
          </w:tcPr>
          <w:p w:rsidR="00596B89" w:rsidRPr="00ED796C" w:rsidRDefault="00596B89" w:rsidP="00324AB0">
            <w:pPr>
              <w:rPr>
                <w:sz w:val="24"/>
              </w:rPr>
            </w:pPr>
            <w:r w:rsidRPr="00ED796C">
              <w:rPr>
                <w:sz w:val="24"/>
              </w:rPr>
              <w:t>Banamine</w:t>
            </w:r>
          </w:p>
          <w:p w:rsidR="00596B89" w:rsidRPr="00ED796C" w:rsidRDefault="00596B89" w:rsidP="00324AB0">
            <w:pPr>
              <w:rPr>
                <w:sz w:val="24"/>
              </w:rPr>
            </w:pPr>
          </w:p>
        </w:tc>
        <w:tc>
          <w:tcPr>
            <w:tcW w:w="2550" w:type="dxa"/>
          </w:tcPr>
          <w:p w:rsidR="00596B89" w:rsidRPr="00ED796C" w:rsidRDefault="00596B89" w:rsidP="00324AB0">
            <w:pPr>
              <w:rPr>
                <w:sz w:val="24"/>
              </w:rPr>
            </w:pPr>
            <w:proofErr w:type="spellStart"/>
            <w:r w:rsidRPr="00ED796C">
              <w:rPr>
                <w:sz w:val="24"/>
              </w:rPr>
              <w:t>Flunixin</w:t>
            </w:r>
            <w:proofErr w:type="spellEnd"/>
            <w:r w:rsidRPr="00ED796C">
              <w:rPr>
                <w:sz w:val="24"/>
              </w:rPr>
              <w:t xml:space="preserve"> </w:t>
            </w:r>
            <w:proofErr w:type="spellStart"/>
            <w:r w:rsidRPr="00ED796C">
              <w:rPr>
                <w:sz w:val="24"/>
              </w:rPr>
              <w:t>Meglumine</w:t>
            </w:r>
            <w:proofErr w:type="spellEnd"/>
          </w:p>
        </w:tc>
        <w:tc>
          <w:tcPr>
            <w:tcW w:w="4667" w:type="dxa"/>
          </w:tcPr>
          <w:p w:rsidR="00596B89" w:rsidRPr="00ED796C" w:rsidRDefault="006B33FE" w:rsidP="006B33FE">
            <w:pPr>
              <w:pStyle w:val="ListParagraph"/>
              <w:numPr>
                <w:ilvl w:val="0"/>
                <w:numId w:val="1"/>
              </w:numPr>
            </w:pPr>
            <w:r>
              <w:t>P</w:t>
            </w:r>
            <w:r w:rsidR="00596B89" w:rsidRPr="00ED796C">
              <w:t>otent, non-narcotic, nonsteroidal, analgesic agent with anti-inflammatory and antipyretic activity</w:t>
            </w:r>
          </w:p>
          <w:p w:rsidR="00596B89" w:rsidRPr="00ED796C" w:rsidRDefault="00596B89" w:rsidP="00324AB0"/>
          <w:p w:rsidR="00596B89" w:rsidRPr="00ED796C" w:rsidRDefault="00596B89" w:rsidP="006B33FE">
            <w:pPr>
              <w:pStyle w:val="ListParagraph"/>
              <w:numPr>
                <w:ilvl w:val="0"/>
                <w:numId w:val="1"/>
              </w:numPr>
            </w:pPr>
            <w:r w:rsidRPr="00ED796C">
              <w:t>Alleviate inflammation and pain associated with musculoskeletal problems or visceral pain associated with colic in horses</w:t>
            </w:r>
          </w:p>
          <w:p w:rsidR="00596B89" w:rsidRPr="00ED796C" w:rsidRDefault="00596B89" w:rsidP="00324AB0"/>
          <w:p w:rsidR="00596B89" w:rsidRPr="006B33FE" w:rsidRDefault="00596B89" w:rsidP="006B33FE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</w:rPr>
            </w:pPr>
            <w:r w:rsidRPr="00ED796C">
              <w:t>Control pyrexia associated w</w:t>
            </w:r>
            <w:r w:rsidR="006B33FE">
              <w:t>ith BRD, Endotoxemia and Acute B</w:t>
            </w:r>
            <w:r w:rsidRPr="00ED796C">
              <w:t>ovine Mastitis</w:t>
            </w:r>
          </w:p>
        </w:tc>
        <w:tc>
          <w:tcPr>
            <w:tcW w:w="5040" w:type="dxa"/>
          </w:tcPr>
          <w:p w:rsidR="00596B89" w:rsidRPr="00ED796C" w:rsidRDefault="00596B89" w:rsidP="00324AB0">
            <w:pPr>
              <w:rPr>
                <w:bCs/>
              </w:rPr>
            </w:pPr>
            <w:r w:rsidRPr="00ED796C">
              <w:rPr>
                <w:bCs/>
              </w:rPr>
              <w:t>Only for Intravenous Use in Beef and Dairy Cattle. Not for Use in Dry Dairy Cows and Veal Calves. For Intravenous and Intramuscular Use in Horses.</w:t>
            </w:r>
          </w:p>
          <w:p w:rsidR="00596B89" w:rsidRPr="00ED796C" w:rsidRDefault="00596B89" w:rsidP="00324AB0">
            <w:pPr>
              <w:rPr>
                <w:bCs/>
              </w:rPr>
            </w:pPr>
          </w:p>
          <w:p w:rsidR="00596B89" w:rsidRPr="00ED796C" w:rsidRDefault="00596B89" w:rsidP="00324AB0">
            <w:r w:rsidRPr="00ED796C">
              <w:t xml:space="preserve">Do not use in horses showing hypersensitivity to </w:t>
            </w:r>
            <w:proofErr w:type="spellStart"/>
            <w:r w:rsidRPr="00ED796C">
              <w:t>flunixin</w:t>
            </w:r>
            <w:proofErr w:type="spellEnd"/>
            <w:r w:rsidRPr="00ED796C">
              <w:t xml:space="preserve"> </w:t>
            </w:r>
            <w:proofErr w:type="spellStart"/>
            <w:r w:rsidRPr="00ED796C">
              <w:t>meglumine</w:t>
            </w:r>
            <w:proofErr w:type="spellEnd"/>
            <w:r w:rsidRPr="00ED796C">
              <w:t>.</w:t>
            </w:r>
          </w:p>
          <w:p w:rsidR="00596B89" w:rsidRPr="00ED796C" w:rsidRDefault="00596B89" w:rsidP="00324AB0"/>
          <w:p w:rsidR="006B33FE" w:rsidRDefault="00596B89" w:rsidP="00324AB0">
            <w:r w:rsidRPr="00ED796C">
              <w:t xml:space="preserve">Cattle - NSAIDs inhibit production of prostaglandins which are important in signaling the initiation of parturition. The use of </w:t>
            </w:r>
            <w:proofErr w:type="spellStart"/>
            <w:r w:rsidRPr="00ED796C">
              <w:t>flunixin</w:t>
            </w:r>
            <w:proofErr w:type="spellEnd"/>
            <w:r w:rsidRPr="00ED796C">
              <w:t xml:space="preserve"> can delay parturition and prolong labor which may increase the risk of stillbirth. </w:t>
            </w:r>
          </w:p>
          <w:p w:rsidR="006B33FE" w:rsidRDefault="00596B89" w:rsidP="00324AB0">
            <w:r w:rsidRPr="00ED796C">
              <w:t xml:space="preserve">Do not use BANAMINE Injectable Solution within 48 hours of expected parturition. </w:t>
            </w:r>
          </w:p>
          <w:p w:rsidR="006B33FE" w:rsidRDefault="00596B89" w:rsidP="00324AB0">
            <w:r w:rsidRPr="00ED796C">
              <w:t xml:space="preserve">Do not use in animals showing hypersensitivity to </w:t>
            </w:r>
            <w:proofErr w:type="spellStart"/>
            <w:r w:rsidRPr="00ED796C">
              <w:t>flunixin</w:t>
            </w:r>
            <w:proofErr w:type="spellEnd"/>
            <w:r w:rsidRPr="00ED796C">
              <w:t xml:space="preserve"> </w:t>
            </w:r>
            <w:proofErr w:type="spellStart"/>
            <w:r w:rsidRPr="00ED796C">
              <w:t>meglumine</w:t>
            </w:r>
            <w:proofErr w:type="spellEnd"/>
            <w:r w:rsidRPr="00ED796C">
              <w:t xml:space="preserve">. </w:t>
            </w:r>
          </w:p>
          <w:p w:rsidR="00596B89" w:rsidRPr="00ED796C" w:rsidRDefault="00596B89" w:rsidP="00324AB0">
            <w:pPr>
              <w:rPr>
                <w:sz w:val="24"/>
              </w:rPr>
            </w:pPr>
            <w:r w:rsidRPr="00ED796C">
              <w:t>Use judiciously when renal impairment or gastric ulceration are suspected.</w:t>
            </w:r>
          </w:p>
        </w:tc>
        <w:tc>
          <w:tcPr>
            <w:tcW w:w="2970" w:type="dxa"/>
          </w:tcPr>
          <w:p w:rsidR="00596B89" w:rsidRPr="006B33FE" w:rsidRDefault="00596B89" w:rsidP="00324AB0">
            <w:pPr>
              <w:rPr>
                <w:rFonts w:cs="Times New Roman"/>
                <w:sz w:val="24"/>
              </w:rPr>
            </w:pPr>
            <w:r w:rsidRPr="006B33FE">
              <w:rPr>
                <w:rFonts w:cs="Times New Roman"/>
                <w:szCs w:val="20"/>
              </w:rPr>
              <w:t>Cattle</w:t>
            </w:r>
            <w:r w:rsidRPr="006B33FE">
              <w:rPr>
                <w:rFonts w:cs="Times New Roman"/>
                <w:sz w:val="24"/>
              </w:rPr>
              <w:t>:</w:t>
            </w:r>
          </w:p>
          <w:p w:rsidR="00596B89" w:rsidRPr="006B33FE" w:rsidRDefault="00596B89" w:rsidP="00324AB0">
            <w:pPr>
              <w:rPr>
                <w:rFonts w:cs="Times New Roman"/>
                <w:szCs w:val="20"/>
              </w:rPr>
            </w:pPr>
            <w:r w:rsidRPr="006B33FE">
              <w:rPr>
                <w:rFonts w:cs="Times New Roman"/>
                <w:szCs w:val="20"/>
              </w:rPr>
              <w:t>Meat: 4 days</w:t>
            </w:r>
          </w:p>
          <w:p w:rsidR="00596B89" w:rsidRPr="006B33FE" w:rsidRDefault="00596B89" w:rsidP="00324AB0">
            <w:pPr>
              <w:rPr>
                <w:rFonts w:cs="Times New Roman"/>
                <w:szCs w:val="20"/>
              </w:rPr>
            </w:pPr>
            <w:r w:rsidRPr="006B33FE">
              <w:rPr>
                <w:rFonts w:cs="Times New Roman"/>
                <w:szCs w:val="20"/>
              </w:rPr>
              <w:t>Milk: 36 hours</w:t>
            </w:r>
          </w:p>
          <w:p w:rsidR="00596B89" w:rsidRPr="006B33FE" w:rsidRDefault="00596B89" w:rsidP="00324AB0">
            <w:pPr>
              <w:rPr>
                <w:rFonts w:cs="Times New Roman"/>
                <w:szCs w:val="20"/>
              </w:rPr>
            </w:pPr>
          </w:p>
          <w:p w:rsidR="00596B89" w:rsidRPr="006B33FE" w:rsidRDefault="00596B89" w:rsidP="00324AB0">
            <w:pPr>
              <w:rPr>
                <w:rFonts w:cs="Times New Roman"/>
                <w:szCs w:val="20"/>
              </w:rPr>
            </w:pPr>
            <w:r w:rsidRPr="006B33FE">
              <w:rPr>
                <w:rFonts w:cs="Times New Roman"/>
                <w:szCs w:val="20"/>
              </w:rPr>
              <w:t xml:space="preserve">Pigs: </w:t>
            </w:r>
          </w:p>
          <w:p w:rsidR="00596B89" w:rsidRPr="006B33FE" w:rsidRDefault="00596B89" w:rsidP="00324AB0">
            <w:pPr>
              <w:rPr>
                <w:rFonts w:cs="Times New Roman"/>
                <w:szCs w:val="20"/>
              </w:rPr>
            </w:pPr>
            <w:r w:rsidRPr="006B33FE">
              <w:rPr>
                <w:rFonts w:cs="Times New Roman"/>
                <w:szCs w:val="20"/>
              </w:rPr>
              <w:t>Meat: 12 days</w:t>
            </w:r>
          </w:p>
          <w:p w:rsidR="00596B89" w:rsidRPr="006B33FE" w:rsidRDefault="00596B89" w:rsidP="00324AB0">
            <w:pPr>
              <w:rPr>
                <w:rFonts w:cs="Times New Roman"/>
                <w:szCs w:val="20"/>
              </w:rPr>
            </w:pPr>
          </w:p>
          <w:p w:rsidR="00596B89" w:rsidRPr="00ED796C" w:rsidRDefault="00596B89" w:rsidP="00324AB0">
            <w:pPr>
              <w:rPr>
                <w:sz w:val="24"/>
              </w:rPr>
            </w:pPr>
            <w:r w:rsidRPr="006B33FE">
              <w:rPr>
                <w:rFonts w:cs="Times New Roman"/>
                <w:szCs w:val="20"/>
              </w:rPr>
              <w:t>Horse: Not to be used in horses intended for consumption</w:t>
            </w:r>
          </w:p>
        </w:tc>
        <w:tc>
          <w:tcPr>
            <w:tcW w:w="3651" w:type="dxa"/>
          </w:tcPr>
          <w:p w:rsidR="00596B89" w:rsidRPr="00ED796C" w:rsidRDefault="00596B89" w:rsidP="00324AB0">
            <w:pPr>
              <w:rPr>
                <w:sz w:val="24"/>
              </w:rPr>
            </w:pPr>
          </w:p>
        </w:tc>
      </w:tr>
      <w:tr w:rsidR="00596B89" w:rsidTr="00596B89">
        <w:trPr>
          <w:trHeight w:val="1701"/>
          <w:jc w:val="center"/>
        </w:trPr>
        <w:tc>
          <w:tcPr>
            <w:tcW w:w="2825" w:type="dxa"/>
          </w:tcPr>
          <w:p w:rsidR="00596B89" w:rsidRPr="00ED796C" w:rsidRDefault="00596B89" w:rsidP="00324AB0">
            <w:pPr>
              <w:rPr>
                <w:sz w:val="24"/>
              </w:rPr>
            </w:pPr>
            <w:proofErr w:type="spellStart"/>
            <w:r w:rsidRPr="00ED796C">
              <w:rPr>
                <w:sz w:val="24"/>
              </w:rPr>
              <w:t>Dexakel</w:t>
            </w:r>
            <w:proofErr w:type="spellEnd"/>
            <w:r w:rsidRPr="00ED796C">
              <w:rPr>
                <w:sz w:val="24"/>
              </w:rPr>
              <w:t xml:space="preserve"> 02</w:t>
            </w:r>
          </w:p>
          <w:p w:rsidR="00596B89" w:rsidRPr="00ED796C" w:rsidRDefault="00596B89" w:rsidP="00324AB0">
            <w:pPr>
              <w:rPr>
                <w:sz w:val="24"/>
              </w:rPr>
            </w:pPr>
          </w:p>
        </w:tc>
        <w:tc>
          <w:tcPr>
            <w:tcW w:w="2550" w:type="dxa"/>
          </w:tcPr>
          <w:p w:rsidR="00596B89" w:rsidRPr="00ED796C" w:rsidRDefault="00596B89" w:rsidP="00324AB0">
            <w:pPr>
              <w:rPr>
                <w:sz w:val="24"/>
              </w:rPr>
            </w:pPr>
            <w:r w:rsidRPr="00ED796C">
              <w:rPr>
                <w:sz w:val="24"/>
              </w:rPr>
              <w:t>Dexamethasone Sodium Phosphate</w:t>
            </w:r>
          </w:p>
        </w:tc>
        <w:tc>
          <w:tcPr>
            <w:tcW w:w="4667" w:type="dxa"/>
          </w:tcPr>
          <w:p w:rsidR="006B33FE" w:rsidRPr="006B33FE" w:rsidRDefault="00596B89" w:rsidP="006B33FE">
            <w:pPr>
              <w:pStyle w:val="ListParagraph"/>
              <w:numPr>
                <w:ilvl w:val="0"/>
                <w:numId w:val="2"/>
              </w:numPr>
              <w:rPr>
                <w:rFonts w:eastAsia="Times New Roman" w:cs="Times New Roman"/>
                <w:sz w:val="24"/>
                <w:szCs w:val="24"/>
              </w:rPr>
            </w:pPr>
            <w:r w:rsidRPr="00ED796C">
              <w:t>Metabolic disorders such as: ketosis in cattle and puerp</w:t>
            </w:r>
            <w:r w:rsidR="006B33FE">
              <w:t xml:space="preserve">eral </w:t>
            </w:r>
            <w:proofErr w:type="spellStart"/>
            <w:r w:rsidR="006B33FE">
              <w:t>toxaemia</w:t>
            </w:r>
            <w:proofErr w:type="spellEnd"/>
            <w:r w:rsidR="006B33FE">
              <w:t xml:space="preserve"> in ewes and sows</w:t>
            </w:r>
          </w:p>
          <w:p w:rsidR="006B33FE" w:rsidRPr="006B33FE" w:rsidRDefault="00596B89" w:rsidP="006B33FE">
            <w:pPr>
              <w:pStyle w:val="ListParagraph"/>
              <w:numPr>
                <w:ilvl w:val="0"/>
                <w:numId w:val="2"/>
              </w:numPr>
              <w:rPr>
                <w:rFonts w:eastAsia="Times New Roman" w:cs="Times New Roman"/>
                <w:sz w:val="24"/>
                <w:szCs w:val="24"/>
              </w:rPr>
            </w:pPr>
            <w:r w:rsidRPr="00ED796C">
              <w:t xml:space="preserve">Non-infectious inflammatory processes, especially acute musculoskeletal inflammations such as: arthritis, </w:t>
            </w:r>
            <w:proofErr w:type="spellStart"/>
            <w:r w:rsidRPr="00ED796C">
              <w:t>periarthritis</w:t>
            </w:r>
            <w:proofErr w:type="spellEnd"/>
            <w:r w:rsidRPr="00ED796C">
              <w:t xml:space="preserve">, </w:t>
            </w:r>
            <w:proofErr w:type="spellStart"/>
            <w:r w:rsidRPr="00ED796C">
              <w:t>tendovaginitis</w:t>
            </w:r>
            <w:proofErr w:type="spellEnd"/>
            <w:r w:rsidRPr="00ED796C">
              <w:t xml:space="preserve">, bursitis, </w:t>
            </w:r>
            <w:proofErr w:type="spellStart"/>
            <w:r w:rsidRPr="00ED796C">
              <w:t>luxations</w:t>
            </w:r>
            <w:proofErr w:type="spellEnd"/>
            <w:r w:rsidRPr="00ED796C">
              <w:t xml:space="preserve">, </w:t>
            </w:r>
            <w:r w:rsidR="006B33FE">
              <w:t xml:space="preserve">myositis, </w:t>
            </w:r>
            <w:proofErr w:type="spellStart"/>
            <w:r w:rsidR="006B33FE">
              <w:t>osselets</w:t>
            </w:r>
            <w:proofErr w:type="spellEnd"/>
            <w:r w:rsidR="006B33FE">
              <w:t xml:space="preserve"> and sprains</w:t>
            </w:r>
          </w:p>
          <w:p w:rsidR="006B33FE" w:rsidRPr="006B33FE" w:rsidRDefault="00596B89" w:rsidP="006B33FE">
            <w:pPr>
              <w:pStyle w:val="ListParagraph"/>
              <w:numPr>
                <w:ilvl w:val="0"/>
                <w:numId w:val="2"/>
              </w:numPr>
              <w:rPr>
                <w:rFonts w:eastAsia="Times New Roman" w:cs="Times New Roman"/>
                <w:sz w:val="24"/>
                <w:szCs w:val="24"/>
              </w:rPr>
            </w:pPr>
            <w:r w:rsidRPr="00ED796C">
              <w:t>As an aid in acute infectious diseases (e.g. acute mastitis, metritis, pneumonia, polyarthritis in calves) in combination with suitable an</w:t>
            </w:r>
            <w:r w:rsidR="006B33FE">
              <w:t>ti-infectious therapy</w:t>
            </w:r>
          </w:p>
          <w:p w:rsidR="006B33FE" w:rsidRPr="006B33FE" w:rsidRDefault="00596B89" w:rsidP="006B33FE">
            <w:pPr>
              <w:pStyle w:val="ListParagraph"/>
              <w:numPr>
                <w:ilvl w:val="0"/>
                <w:numId w:val="2"/>
              </w:numPr>
              <w:rPr>
                <w:rFonts w:eastAsia="Times New Roman" w:cs="Times New Roman"/>
                <w:sz w:val="24"/>
                <w:szCs w:val="24"/>
              </w:rPr>
            </w:pPr>
            <w:r w:rsidRPr="00ED796C">
              <w:t xml:space="preserve">Allergic conditions, e.g. asthma, allergic skin affections (eczema, </w:t>
            </w:r>
            <w:proofErr w:type="spellStart"/>
            <w:r w:rsidRPr="00ED796C">
              <w:t>urticari</w:t>
            </w:r>
            <w:r w:rsidR="006B33FE">
              <w:t>a</w:t>
            </w:r>
            <w:proofErr w:type="spellEnd"/>
            <w:r w:rsidR="006B33FE">
              <w:t xml:space="preserve">, </w:t>
            </w:r>
            <w:proofErr w:type="spellStart"/>
            <w:r w:rsidR="006B33FE">
              <w:t>pruritis</w:t>
            </w:r>
            <w:proofErr w:type="spellEnd"/>
            <w:r w:rsidR="006B33FE">
              <w:t>, ...), snake-bites</w:t>
            </w:r>
          </w:p>
          <w:p w:rsidR="006B33FE" w:rsidRPr="006B33FE" w:rsidRDefault="006B33FE" w:rsidP="006B33FE">
            <w:pPr>
              <w:pStyle w:val="ListParagraph"/>
              <w:numPr>
                <w:ilvl w:val="0"/>
                <w:numId w:val="2"/>
              </w:numPr>
              <w:rPr>
                <w:rFonts w:eastAsia="Times New Roman" w:cs="Times New Roman"/>
                <w:sz w:val="24"/>
                <w:szCs w:val="24"/>
              </w:rPr>
            </w:pPr>
            <w:r>
              <w:t>Stress- and shock conditions</w:t>
            </w:r>
          </w:p>
          <w:p w:rsidR="00596B89" w:rsidRPr="006B33FE" w:rsidRDefault="00596B89" w:rsidP="006B33FE">
            <w:pPr>
              <w:pStyle w:val="ListParagraph"/>
              <w:numPr>
                <w:ilvl w:val="0"/>
                <w:numId w:val="2"/>
              </w:numPr>
              <w:rPr>
                <w:rFonts w:eastAsia="Times New Roman" w:cs="Times New Roman"/>
                <w:sz w:val="24"/>
                <w:szCs w:val="24"/>
              </w:rPr>
            </w:pPr>
            <w:r w:rsidRPr="00ED796C">
              <w:t>Induction of parturition in ruminants during the last stage of pregnancy (delivery within 2-4 days).</w:t>
            </w:r>
          </w:p>
        </w:tc>
        <w:tc>
          <w:tcPr>
            <w:tcW w:w="5040" w:type="dxa"/>
          </w:tcPr>
          <w:p w:rsidR="00596B89" w:rsidRPr="00ED796C" w:rsidRDefault="00596B89" w:rsidP="00324AB0">
            <w:pPr>
              <w:rPr>
                <w:rFonts w:cs="Times New Roman"/>
                <w:sz w:val="20"/>
                <w:szCs w:val="20"/>
              </w:rPr>
            </w:pPr>
            <w:r w:rsidRPr="006B33FE">
              <w:rPr>
                <w:rFonts w:cs="Times New Roman"/>
                <w:szCs w:val="20"/>
              </w:rPr>
              <w:t>Cardiac and renal insufficiencies, hypercorticism (Cushing’s Syndrom</w:t>
            </w:r>
            <w:r w:rsidR="006B33FE">
              <w:rPr>
                <w:rFonts w:cs="Times New Roman"/>
                <w:szCs w:val="20"/>
              </w:rPr>
              <w:t>e</w:t>
            </w:r>
            <w:r w:rsidRPr="006B33FE">
              <w:rPr>
                <w:rFonts w:cs="Times New Roman"/>
                <w:szCs w:val="20"/>
              </w:rPr>
              <w:t>), diabetes, osteoporosis, viraemia, simultaneous vaccination.</w:t>
            </w:r>
          </w:p>
        </w:tc>
        <w:tc>
          <w:tcPr>
            <w:tcW w:w="2970" w:type="dxa"/>
          </w:tcPr>
          <w:p w:rsidR="00596B89" w:rsidRDefault="00596B89" w:rsidP="00324AB0">
            <w:pPr>
              <w:rPr>
                <w:sz w:val="24"/>
              </w:rPr>
            </w:pPr>
            <w:r>
              <w:rPr>
                <w:sz w:val="24"/>
              </w:rPr>
              <w:t>Slaughter (14 days)</w:t>
            </w:r>
          </w:p>
          <w:p w:rsidR="00596B89" w:rsidRPr="00ED796C" w:rsidRDefault="00596B89" w:rsidP="00324AB0">
            <w:pPr>
              <w:rPr>
                <w:sz w:val="24"/>
              </w:rPr>
            </w:pPr>
            <w:r>
              <w:rPr>
                <w:sz w:val="24"/>
              </w:rPr>
              <w:t>Milk (2 days)</w:t>
            </w:r>
          </w:p>
        </w:tc>
        <w:tc>
          <w:tcPr>
            <w:tcW w:w="3651" w:type="dxa"/>
          </w:tcPr>
          <w:p w:rsidR="00596B89" w:rsidRPr="00ED796C" w:rsidRDefault="00596B89" w:rsidP="00324AB0">
            <w:pPr>
              <w:rPr>
                <w:sz w:val="24"/>
              </w:rPr>
            </w:pPr>
          </w:p>
        </w:tc>
      </w:tr>
    </w:tbl>
    <w:p w:rsidR="00596B89" w:rsidRDefault="00596B89" w:rsidP="00596B89">
      <w:pPr>
        <w:jc w:val="center"/>
        <w:rPr>
          <w:b/>
          <w:sz w:val="36"/>
          <w:u w:val="single"/>
        </w:rPr>
      </w:pPr>
    </w:p>
    <w:p w:rsidR="00596B89" w:rsidRDefault="00596B89" w:rsidP="00596B89">
      <w:pPr>
        <w:jc w:val="center"/>
        <w:rPr>
          <w:b/>
          <w:sz w:val="36"/>
          <w:u w:val="single"/>
        </w:rPr>
      </w:pPr>
    </w:p>
    <w:p w:rsidR="00596B89" w:rsidRDefault="00596B89" w:rsidP="00596B89">
      <w:pPr>
        <w:jc w:val="center"/>
        <w:rPr>
          <w:b/>
          <w:sz w:val="36"/>
          <w:u w:val="single"/>
        </w:rPr>
      </w:pPr>
    </w:p>
    <w:p w:rsidR="00596B89" w:rsidRDefault="00596B89" w:rsidP="00596B89">
      <w:pPr>
        <w:jc w:val="center"/>
        <w:rPr>
          <w:b/>
          <w:sz w:val="36"/>
          <w:u w:val="single"/>
        </w:rPr>
      </w:pPr>
    </w:p>
    <w:p w:rsidR="00596B89" w:rsidRDefault="00596B89" w:rsidP="00596B89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DOSAGES</w:t>
      </w:r>
    </w:p>
    <w:p w:rsidR="00596B89" w:rsidRDefault="00596B89" w:rsidP="00596B89">
      <w:pPr>
        <w:jc w:val="center"/>
        <w:rPr>
          <w:b/>
          <w:sz w:val="3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8"/>
        <w:gridCol w:w="3863"/>
        <w:gridCol w:w="3841"/>
        <w:gridCol w:w="3831"/>
        <w:gridCol w:w="3853"/>
        <w:gridCol w:w="3710"/>
      </w:tblGrid>
      <w:tr w:rsidR="00596B89" w:rsidRPr="00697153" w:rsidTr="00324AB0">
        <w:trPr>
          <w:trHeight w:val="458"/>
        </w:trPr>
        <w:tc>
          <w:tcPr>
            <w:tcW w:w="23256" w:type="dxa"/>
            <w:gridSpan w:val="6"/>
          </w:tcPr>
          <w:p w:rsidR="00596B89" w:rsidRPr="00697153" w:rsidRDefault="00596B89" w:rsidP="00324AB0">
            <w:pPr>
              <w:jc w:val="center"/>
              <w:rPr>
                <w:b/>
                <w:color w:val="FF0000"/>
                <w:sz w:val="24"/>
              </w:rPr>
            </w:pPr>
            <w:r w:rsidRPr="00697153">
              <w:rPr>
                <w:b/>
                <w:color w:val="FF0000"/>
                <w:sz w:val="24"/>
              </w:rPr>
              <w:t>ANALGESIC</w:t>
            </w:r>
          </w:p>
        </w:tc>
      </w:tr>
      <w:tr w:rsidR="00596B89" w:rsidTr="00324AB0">
        <w:tc>
          <w:tcPr>
            <w:tcW w:w="4158" w:type="dxa"/>
          </w:tcPr>
          <w:p w:rsidR="00596B89" w:rsidRDefault="00596B89" w:rsidP="00324AB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DRUG</w:t>
            </w:r>
          </w:p>
        </w:tc>
        <w:tc>
          <w:tcPr>
            <w:tcW w:w="3863" w:type="dxa"/>
          </w:tcPr>
          <w:p w:rsidR="00596B89" w:rsidRDefault="00596B89" w:rsidP="00324AB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CATTLE</w:t>
            </w:r>
          </w:p>
        </w:tc>
        <w:tc>
          <w:tcPr>
            <w:tcW w:w="3841" w:type="dxa"/>
          </w:tcPr>
          <w:p w:rsidR="00596B89" w:rsidRDefault="00596B89" w:rsidP="00324AB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SHEEP</w:t>
            </w:r>
          </w:p>
        </w:tc>
        <w:tc>
          <w:tcPr>
            <w:tcW w:w="3831" w:type="dxa"/>
          </w:tcPr>
          <w:p w:rsidR="00596B89" w:rsidRDefault="00596B89" w:rsidP="00324AB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GOAT</w:t>
            </w:r>
          </w:p>
        </w:tc>
        <w:tc>
          <w:tcPr>
            <w:tcW w:w="3853" w:type="dxa"/>
          </w:tcPr>
          <w:p w:rsidR="00596B89" w:rsidRDefault="00596B89" w:rsidP="00324AB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HORSE</w:t>
            </w:r>
          </w:p>
        </w:tc>
        <w:tc>
          <w:tcPr>
            <w:tcW w:w="3710" w:type="dxa"/>
          </w:tcPr>
          <w:p w:rsidR="00596B89" w:rsidRDefault="00596B89" w:rsidP="00324AB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SWINE</w:t>
            </w:r>
          </w:p>
        </w:tc>
      </w:tr>
      <w:tr w:rsidR="00596B89" w:rsidTr="00324AB0">
        <w:tc>
          <w:tcPr>
            <w:tcW w:w="4158" w:type="dxa"/>
          </w:tcPr>
          <w:p w:rsidR="00596B89" w:rsidRDefault="00596B89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Banamine Injectable Solution</w:t>
            </w:r>
          </w:p>
        </w:tc>
        <w:tc>
          <w:tcPr>
            <w:tcW w:w="3863" w:type="dxa"/>
          </w:tcPr>
          <w:p w:rsidR="00596B89" w:rsidRDefault="00596B89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For Pyrexia and Endotoxemia:</w:t>
            </w:r>
          </w:p>
          <w:p w:rsidR="00596B89" w:rsidRDefault="00596B89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1.1-2.2mg/kg once a day</w:t>
            </w:r>
          </w:p>
          <w:p w:rsidR="00596B89" w:rsidRDefault="00596B89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For mastitis:</w:t>
            </w:r>
          </w:p>
          <w:p w:rsidR="00596B89" w:rsidRDefault="00596B89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2.2mg/kg IV</w:t>
            </w:r>
          </w:p>
        </w:tc>
        <w:tc>
          <w:tcPr>
            <w:tcW w:w="3841" w:type="dxa"/>
          </w:tcPr>
          <w:p w:rsidR="00596B89" w:rsidRDefault="00596B89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3831" w:type="dxa"/>
          </w:tcPr>
          <w:p w:rsidR="00596B89" w:rsidRDefault="00596B89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3853" w:type="dxa"/>
          </w:tcPr>
          <w:p w:rsidR="00596B89" w:rsidRDefault="00596B89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1ml/45kg IV or IM once daily</w:t>
            </w:r>
          </w:p>
        </w:tc>
        <w:tc>
          <w:tcPr>
            <w:tcW w:w="3710" w:type="dxa"/>
          </w:tcPr>
          <w:p w:rsidR="00596B89" w:rsidRDefault="00596B89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For Pyrexia:</w:t>
            </w:r>
          </w:p>
          <w:p w:rsidR="00596B89" w:rsidRDefault="00596B89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2.2mg/kg IM once daily in neck (10ml max per site)</w:t>
            </w:r>
          </w:p>
        </w:tc>
      </w:tr>
      <w:tr w:rsidR="00596B89" w:rsidTr="00324AB0">
        <w:tc>
          <w:tcPr>
            <w:tcW w:w="4158" w:type="dxa"/>
          </w:tcPr>
          <w:p w:rsidR="00596B89" w:rsidRDefault="00596B89" w:rsidP="00324AB0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Dexakel</w:t>
            </w:r>
            <w:proofErr w:type="spellEnd"/>
            <w:r>
              <w:rPr>
                <w:b/>
                <w:sz w:val="24"/>
              </w:rPr>
              <w:t xml:space="preserve"> 02</w:t>
            </w:r>
          </w:p>
        </w:tc>
        <w:tc>
          <w:tcPr>
            <w:tcW w:w="3863" w:type="dxa"/>
          </w:tcPr>
          <w:p w:rsidR="00596B89" w:rsidRDefault="00596B89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5-10ml/400kg IV or IM</w:t>
            </w:r>
          </w:p>
          <w:p w:rsidR="00596B89" w:rsidRDefault="00596B89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(Calves 2-4mg/50kg IV or IM)</w:t>
            </w:r>
          </w:p>
        </w:tc>
        <w:tc>
          <w:tcPr>
            <w:tcW w:w="3841" w:type="dxa"/>
          </w:tcPr>
          <w:p w:rsidR="00596B89" w:rsidRDefault="00596B89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1-2ml/50kg</w:t>
            </w:r>
          </w:p>
        </w:tc>
        <w:tc>
          <w:tcPr>
            <w:tcW w:w="3831" w:type="dxa"/>
          </w:tcPr>
          <w:p w:rsidR="00596B89" w:rsidRDefault="00596B89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1-2ml/kg</w:t>
            </w:r>
          </w:p>
        </w:tc>
        <w:tc>
          <w:tcPr>
            <w:tcW w:w="3853" w:type="dxa"/>
          </w:tcPr>
          <w:p w:rsidR="00596B89" w:rsidRDefault="00596B89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5-10ml/400kg IV or IM</w:t>
            </w:r>
          </w:p>
          <w:p w:rsidR="00596B89" w:rsidRDefault="00596B89" w:rsidP="00324AB0">
            <w:pPr>
              <w:rPr>
                <w:b/>
                <w:sz w:val="24"/>
              </w:rPr>
            </w:pPr>
          </w:p>
        </w:tc>
        <w:tc>
          <w:tcPr>
            <w:tcW w:w="3710" w:type="dxa"/>
          </w:tcPr>
          <w:p w:rsidR="00596B89" w:rsidRDefault="00596B89" w:rsidP="00324A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1-10mg/kg IV or IM</w:t>
            </w:r>
          </w:p>
        </w:tc>
      </w:tr>
    </w:tbl>
    <w:p w:rsidR="00596B89" w:rsidRPr="00596B89" w:rsidRDefault="00596B89" w:rsidP="00596B89">
      <w:pPr>
        <w:jc w:val="center"/>
        <w:rPr>
          <w:b/>
          <w:sz w:val="36"/>
          <w:u w:val="single"/>
        </w:rPr>
      </w:pPr>
      <w:bookmarkStart w:id="0" w:name="_GoBack"/>
      <w:bookmarkEnd w:id="0"/>
    </w:p>
    <w:sectPr w:rsidR="00596B89" w:rsidRPr="00596B89" w:rsidSect="00596B89">
      <w:pgSz w:w="24480" w:h="15840" w:orient="landscape" w:code="3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A5FFA"/>
    <w:multiLevelType w:val="hybridMultilevel"/>
    <w:tmpl w:val="F936490A"/>
    <w:lvl w:ilvl="0" w:tplc="69A682EC">
      <w:start w:val="1"/>
      <w:numFmt w:val="decimal"/>
      <w:lvlText w:val="(%1)"/>
      <w:lvlJc w:val="left"/>
      <w:pPr>
        <w:ind w:left="720" w:hanging="360"/>
      </w:pPr>
      <w:rPr>
        <w:rFonts w:eastAsia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B13EE"/>
    <w:multiLevelType w:val="hybridMultilevel"/>
    <w:tmpl w:val="65829B16"/>
    <w:lvl w:ilvl="0" w:tplc="450088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96B89"/>
    <w:rsid w:val="0015018F"/>
    <w:rsid w:val="00596B89"/>
    <w:rsid w:val="006B33FE"/>
    <w:rsid w:val="00FA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511CF"/>
  <w15:chartTrackingRefBased/>
  <w15:docId w15:val="{80D85822-5FE5-4DDA-93AB-9C0A7E501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596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33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Johnally</dc:creator>
  <cp:keywords/>
  <dc:description/>
  <cp:lastModifiedBy>Simone Johnally</cp:lastModifiedBy>
  <cp:revision>2</cp:revision>
  <dcterms:created xsi:type="dcterms:W3CDTF">2016-09-10T22:49:00Z</dcterms:created>
  <dcterms:modified xsi:type="dcterms:W3CDTF">2016-09-10T23:33:00Z</dcterms:modified>
</cp:coreProperties>
</file>