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27646" w:rsidRPr="00AF05D6" w:rsidRDefault="00AF05D6" w:rsidP="00AF05D6">
      <w:pPr>
        <w:jc w:val="center"/>
        <w:rPr>
          <w:b/>
        </w:rPr>
      </w:pPr>
      <w:r>
        <w:rPr>
          <w:b/>
        </w:rPr>
        <w:t>What Are Best Practices?</w:t>
      </w:r>
      <w:bookmarkStart w:id="0" w:name="_GoBack"/>
      <w:bookmarkEnd w:id="0"/>
    </w:p>
    <w:p w:rsidR="00AF05D6" w:rsidRDefault="00AF05D6" w:rsidP="00AF05D6">
      <w:pPr>
        <w:jc w:val="center"/>
      </w:pPr>
    </w:p>
    <w:tbl>
      <w:tblPr>
        <w:tblStyle w:val="a"/>
        <w:tblW w:w="11415" w:type="dxa"/>
        <w:tblInd w:w="-8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65"/>
        <w:gridCol w:w="2985"/>
        <w:gridCol w:w="2385"/>
        <w:gridCol w:w="3780"/>
      </w:tblGrid>
      <w:tr w:rsidR="00327646"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646" w:rsidRDefault="00AF05D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Element of BP with Description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646" w:rsidRDefault="00AF05D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What the Teacher is Doing...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646" w:rsidRDefault="00AF05D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What the Students are Doing...</w:t>
            </w: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646" w:rsidRDefault="00AF05D6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How I Decided on this BP, Which Readings, My Own Experiences</w:t>
            </w:r>
          </w:p>
        </w:tc>
      </w:tr>
      <w:tr w:rsidR="00327646"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646" w:rsidRDefault="00AF05D6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color w:val="FF0000"/>
              </w:rPr>
            </w:pPr>
            <w:r>
              <w:rPr>
                <w:color w:val="FF0000"/>
                <w:u w:val="single"/>
              </w:rPr>
              <w:t>Active</w:t>
            </w:r>
          </w:p>
          <w:p w:rsidR="00327646" w:rsidRDefault="00AF05D6">
            <w:pPr>
              <w:widowControl w:val="0"/>
              <w:numPr>
                <w:ilvl w:val="0"/>
                <w:numId w:val="5"/>
              </w:numPr>
              <w:spacing w:line="240" w:lineRule="auto"/>
              <w:ind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Students learn by reaching their own conclusions and knowledge through hands-on AND minds-on lessons and activities. 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646" w:rsidRDefault="00AF05D6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>Facilitates student-led discussions</w:t>
            </w:r>
          </w:p>
          <w:p w:rsidR="00327646" w:rsidRDefault="00AF05D6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>Models critical thinking strategies and other skills</w:t>
            </w:r>
          </w:p>
          <w:p w:rsidR="00327646" w:rsidRDefault="00AF05D6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>Provides explanations when needed but allows stud</w:t>
            </w:r>
            <w:r>
              <w:rPr>
                <w:color w:val="FF0000"/>
              </w:rPr>
              <w:t>ents to ask questions, debate and discuss on their own whenever able</w:t>
            </w:r>
          </w:p>
          <w:p w:rsidR="00327646" w:rsidRDefault="00AF05D6">
            <w:pPr>
              <w:widowControl w:val="0"/>
              <w:numPr>
                <w:ilvl w:val="0"/>
                <w:numId w:val="1"/>
              </w:numPr>
              <w:spacing w:line="240" w:lineRule="auto"/>
              <w:ind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>Create lessons and activities that are engaging and provide a variety of learning modes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646" w:rsidRDefault="00AF05D6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 xml:space="preserve">Work individually and in groups to reach their own conclusions </w:t>
            </w:r>
          </w:p>
          <w:p w:rsidR="00327646" w:rsidRDefault="00AF05D6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>Ask questions, debate, and discuss topics that require critical thinking</w:t>
            </w:r>
          </w:p>
          <w:p w:rsidR="00327646" w:rsidRDefault="00AF05D6">
            <w:pPr>
              <w:widowControl w:val="0"/>
              <w:numPr>
                <w:ilvl w:val="0"/>
                <w:numId w:val="3"/>
              </w:numPr>
              <w:spacing w:line="240" w:lineRule="auto"/>
              <w:ind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>Analyze a variety of sources before and during discussions</w:t>
            </w: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646" w:rsidRDefault="00AF05D6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>I have a passion for Inquiry based learning and this BP goes hand-in-hand with this type of teaching</w:t>
            </w:r>
          </w:p>
          <w:p w:rsidR="00327646" w:rsidRDefault="00AF05D6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>This BP popped out at m</w:t>
            </w:r>
            <w:r>
              <w:rPr>
                <w:color w:val="FF0000"/>
              </w:rPr>
              <w:t>e immediately when reading the NCSS article</w:t>
            </w:r>
          </w:p>
          <w:p w:rsidR="00327646" w:rsidRDefault="00AF05D6">
            <w:pPr>
              <w:widowControl w:val="0"/>
              <w:numPr>
                <w:ilvl w:val="0"/>
                <w:numId w:val="8"/>
              </w:numPr>
              <w:spacing w:line="240" w:lineRule="auto"/>
              <w:ind w:hanging="360"/>
              <w:contextualSpacing/>
              <w:rPr>
                <w:color w:val="FF0000"/>
              </w:rPr>
            </w:pPr>
            <w:r>
              <w:rPr>
                <w:color w:val="FF0000"/>
              </w:rPr>
              <w:t>My own experiences in social studies were not very active which is why learning how to create this type of environment in my own classroom is so important to me</w:t>
            </w:r>
          </w:p>
        </w:tc>
      </w:tr>
      <w:tr w:rsidR="00327646">
        <w:tc>
          <w:tcPr>
            <w:tcW w:w="22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646" w:rsidRDefault="00AF05D6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color w:val="0000FF"/>
              </w:rPr>
            </w:pPr>
            <w:r>
              <w:rPr>
                <w:color w:val="0000FF"/>
                <w:u w:val="single"/>
              </w:rPr>
              <w:t>In Depth</w:t>
            </w:r>
          </w:p>
          <w:p w:rsidR="00327646" w:rsidRDefault="00AF05D6">
            <w:pPr>
              <w:widowControl w:val="0"/>
              <w:numPr>
                <w:ilvl w:val="0"/>
                <w:numId w:val="6"/>
              </w:numPr>
              <w:spacing w:line="240" w:lineRule="auto"/>
              <w:ind w:hanging="360"/>
              <w:contextualSpacing/>
              <w:rPr>
                <w:color w:val="0000FF"/>
              </w:rPr>
            </w:pPr>
            <w:r>
              <w:rPr>
                <w:color w:val="0000FF"/>
              </w:rPr>
              <w:t>Students learn by covering less topics in</w:t>
            </w:r>
            <w:r>
              <w:rPr>
                <w:color w:val="0000FF"/>
              </w:rPr>
              <w:t xml:space="preserve"> more depth, creating a passion to continue further exploration on their own</w:t>
            </w:r>
          </w:p>
        </w:tc>
        <w:tc>
          <w:tcPr>
            <w:tcW w:w="29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646" w:rsidRDefault="00AF05D6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color w:val="0000FF"/>
              </w:rPr>
            </w:pPr>
            <w:r>
              <w:rPr>
                <w:color w:val="0000FF"/>
              </w:rPr>
              <w:t>Chooses inspiring and useful topics (setting, event, people, etc.) intentionally</w:t>
            </w:r>
          </w:p>
          <w:p w:rsidR="00327646" w:rsidRDefault="00AF05D6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color w:val="0000FF"/>
              </w:rPr>
            </w:pPr>
            <w:r>
              <w:rPr>
                <w:color w:val="0000FF"/>
              </w:rPr>
              <w:t>Selects multiple sources with different perspectives and interpretations on specific topics</w:t>
            </w:r>
          </w:p>
          <w:p w:rsidR="00327646" w:rsidRDefault="00AF05D6">
            <w:pPr>
              <w:widowControl w:val="0"/>
              <w:numPr>
                <w:ilvl w:val="0"/>
                <w:numId w:val="2"/>
              </w:numPr>
              <w:spacing w:line="240" w:lineRule="auto"/>
              <w:ind w:hanging="360"/>
              <w:contextualSpacing/>
              <w:rPr>
                <w:color w:val="0000FF"/>
              </w:rPr>
            </w:pPr>
            <w:r>
              <w:rPr>
                <w:color w:val="0000FF"/>
              </w:rPr>
              <w:t>Creates an environment that encourages appreciation and life application for each topic</w:t>
            </w:r>
          </w:p>
        </w:tc>
        <w:tc>
          <w:tcPr>
            <w:tcW w:w="238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646" w:rsidRDefault="00AF05D6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color w:val="0000FF"/>
              </w:rPr>
            </w:pPr>
            <w:r>
              <w:rPr>
                <w:color w:val="0000FF"/>
              </w:rPr>
              <w:t>Investigate topics in depth by analyzing many different sources</w:t>
            </w:r>
          </w:p>
          <w:p w:rsidR="00327646" w:rsidRDefault="00AF05D6">
            <w:pPr>
              <w:widowControl w:val="0"/>
              <w:numPr>
                <w:ilvl w:val="0"/>
                <w:numId w:val="7"/>
              </w:numPr>
              <w:spacing w:line="240" w:lineRule="auto"/>
              <w:ind w:hanging="360"/>
              <w:contextualSpacing/>
              <w:rPr>
                <w:color w:val="0000FF"/>
              </w:rPr>
            </w:pPr>
            <w:r>
              <w:rPr>
                <w:color w:val="0000FF"/>
              </w:rPr>
              <w:t>Gain the knowledge and skills to continue their own exploration and education on their own</w:t>
            </w:r>
          </w:p>
        </w:tc>
        <w:tc>
          <w:tcPr>
            <w:tcW w:w="378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646" w:rsidRDefault="00AF05D6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color w:val="0000FF"/>
              </w:rPr>
            </w:pPr>
            <w:r>
              <w:rPr>
                <w:color w:val="0000FF"/>
              </w:rPr>
              <w:t xml:space="preserve">I chose this </w:t>
            </w:r>
            <w:r>
              <w:rPr>
                <w:color w:val="0000FF"/>
              </w:rPr>
              <w:t xml:space="preserve">BP because it’s one that I think </w:t>
            </w:r>
            <w:proofErr w:type="gramStart"/>
            <w:r>
              <w:rPr>
                <w:color w:val="0000FF"/>
              </w:rPr>
              <w:t>is  difficult</w:t>
            </w:r>
            <w:proofErr w:type="gramEnd"/>
            <w:r>
              <w:rPr>
                <w:color w:val="0000FF"/>
              </w:rPr>
              <w:t xml:space="preserve"> for social studies teachers since there are indeed so many different fields that need to be covered in 12 short years.</w:t>
            </w:r>
          </w:p>
          <w:p w:rsidR="00327646" w:rsidRDefault="00AF05D6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color w:val="0000FF"/>
              </w:rPr>
            </w:pPr>
            <w:r>
              <w:rPr>
                <w:color w:val="0000FF"/>
              </w:rPr>
              <w:t>The SSBP article mentioned that it would be impossible for students to learn everything by</w:t>
            </w:r>
            <w:r>
              <w:rPr>
                <w:color w:val="0000FF"/>
              </w:rPr>
              <w:t xml:space="preserve"> the time they graduate but that covering less in more depth will hopefully help them to continue exploring on their own. </w:t>
            </w:r>
          </w:p>
          <w:p w:rsidR="00327646" w:rsidRDefault="00AF05D6">
            <w:pPr>
              <w:widowControl w:val="0"/>
              <w:numPr>
                <w:ilvl w:val="0"/>
                <w:numId w:val="4"/>
              </w:numPr>
              <w:spacing w:line="240" w:lineRule="auto"/>
              <w:ind w:hanging="360"/>
              <w:contextualSpacing/>
              <w:rPr>
                <w:color w:val="0000FF"/>
              </w:rPr>
            </w:pPr>
            <w:r>
              <w:rPr>
                <w:color w:val="0000FF"/>
              </w:rPr>
              <w:t>Again, in my own experiences, I felt as though this was not a BP I encountered enough. I think many of my teachers covered a great sp</w:t>
            </w:r>
            <w:r>
              <w:rPr>
                <w:color w:val="0000FF"/>
              </w:rPr>
              <w:t>an of topics on the surface level and so I in turn did not gain memorable knowledge of the material.</w:t>
            </w:r>
          </w:p>
        </w:tc>
      </w:tr>
    </w:tbl>
    <w:p w:rsidR="00327646" w:rsidRDefault="00327646"/>
    <w:sectPr w:rsidR="0032764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23C25"/>
    <w:multiLevelType w:val="multilevel"/>
    <w:tmpl w:val="11182B8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417E446F"/>
    <w:multiLevelType w:val="multilevel"/>
    <w:tmpl w:val="50A0955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nsid w:val="44E724EC"/>
    <w:multiLevelType w:val="multilevel"/>
    <w:tmpl w:val="58C4BF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nsid w:val="547E1E86"/>
    <w:multiLevelType w:val="multilevel"/>
    <w:tmpl w:val="63CE43C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5ED1324A"/>
    <w:multiLevelType w:val="multilevel"/>
    <w:tmpl w:val="FBCC4DF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nsid w:val="658F603D"/>
    <w:multiLevelType w:val="multilevel"/>
    <w:tmpl w:val="8286CC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731D7EB6"/>
    <w:multiLevelType w:val="multilevel"/>
    <w:tmpl w:val="C494E23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nsid w:val="7BCE6660"/>
    <w:multiLevelType w:val="multilevel"/>
    <w:tmpl w:val="603C7152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27646"/>
    <w:rsid w:val="00327646"/>
    <w:rsid w:val="00AF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HilaryLindauer</dc:creator>
  <cp:lastModifiedBy>Windows User</cp:lastModifiedBy>
  <cp:revision>2</cp:revision>
  <dcterms:created xsi:type="dcterms:W3CDTF">2016-07-31T21:03:00Z</dcterms:created>
  <dcterms:modified xsi:type="dcterms:W3CDTF">2016-07-31T21:03:00Z</dcterms:modified>
</cp:coreProperties>
</file>