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0D0" w:rsidRDefault="005D50D0" w:rsidP="005D50D0">
      <w:r>
        <w:t xml:space="preserve">By 2021, Widener University will be a leader among metropolitan universities in promoting STUDENT TRANSFORMATION AND SUCCESS through: </w:t>
      </w:r>
    </w:p>
    <w:p w:rsidR="005D50D0" w:rsidRPr="001E1EEC" w:rsidRDefault="005D50D0" w:rsidP="005D50D0">
      <w:pPr>
        <w:ind w:firstLine="720"/>
        <w:rPr>
          <w:b/>
        </w:rPr>
      </w:pPr>
      <w:r w:rsidRPr="001E1EEC">
        <w:rPr>
          <w:b/>
        </w:rPr>
        <w:t>Rigorous Academic Expectations and High-Impact Educational Practices that support intended learning outcomes.</w:t>
      </w:r>
    </w:p>
    <w:tbl>
      <w:tblPr>
        <w:tblStyle w:val="TableGrid"/>
        <w:tblW w:w="0" w:type="auto"/>
        <w:tblLook w:val="04A0" w:firstRow="1" w:lastRow="0" w:firstColumn="1" w:lastColumn="0" w:noHBand="0" w:noVBand="1"/>
      </w:tblPr>
      <w:tblGrid>
        <w:gridCol w:w="2178"/>
        <w:gridCol w:w="3195"/>
        <w:gridCol w:w="2312"/>
        <w:gridCol w:w="2178"/>
        <w:gridCol w:w="2298"/>
        <w:gridCol w:w="1015"/>
      </w:tblGrid>
      <w:tr w:rsidR="005D50D0" w:rsidTr="00DE4AE4">
        <w:trPr>
          <w:cantSplit/>
          <w:tblHeader/>
        </w:trPr>
        <w:tc>
          <w:tcPr>
            <w:tcW w:w="2178" w:type="dxa"/>
            <w:vAlign w:val="center"/>
          </w:tcPr>
          <w:p w:rsidR="005D50D0" w:rsidRPr="007328BA" w:rsidRDefault="005D50D0" w:rsidP="00552F21">
            <w:pPr>
              <w:rPr>
                <w:b/>
              </w:rPr>
            </w:pPr>
            <w:r w:rsidRPr="007328BA">
              <w:rPr>
                <w:b/>
              </w:rPr>
              <w:t>Objective</w:t>
            </w:r>
          </w:p>
        </w:tc>
        <w:tc>
          <w:tcPr>
            <w:tcW w:w="3195" w:type="dxa"/>
            <w:vAlign w:val="center"/>
          </w:tcPr>
          <w:p w:rsidR="005D50D0" w:rsidRPr="007328BA" w:rsidRDefault="005D50D0" w:rsidP="00552F21">
            <w:pPr>
              <w:rPr>
                <w:b/>
              </w:rPr>
            </w:pPr>
            <w:r w:rsidRPr="007328BA">
              <w:rPr>
                <w:b/>
              </w:rPr>
              <w:t>Desired Outcome</w:t>
            </w:r>
          </w:p>
        </w:tc>
        <w:tc>
          <w:tcPr>
            <w:tcW w:w="2312" w:type="dxa"/>
            <w:vAlign w:val="center"/>
          </w:tcPr>
          <w:p w:rsidR="005D50D0" w:rsidRPr="007328BA" w:rsidRDefault="005D50D0" w:rsidP="00552F21">
            <w:pPr>
              <w:rPr>
                <w:b/>
              </w:rPr>
            </w:pPr>
            <w:r w:rsidRPr="007328BA">
              <w:rPr>
                <w:b/>
              </w:rPr>
              <w:t>Assessment</w:t>
            </w:r>
          </w:p>
        </w:tc>
        <w:tc>
          <w:tcPr>
            <w:tcW w:w="2178" w:type="dxa"/>
            <w:vAlign w:val="center"/>
          </w:tcPr>
          <w:p w:rsidR="005D50D0" w:rsidRPr="007328BA" w:rsidRDefault="005D50D0" w:rsidP="00552F21">
            <w:pPr>
              <w:rPr>
                <w:b/>
              </w:rPr>
            </w:pPr>
            <w:r w:rsidRPr="007328BA">
              <w:rPr>
                <w:b/>
              </w:rPr>
              <w:t>Metric</w:t>
            </w:r>
          </w:p>
        </w:tc>
        <w:tc>
          <w:tcPr>
            <w:tcW w:w="2298" w:type="dxa"/>
            <w:vAlign w:val="center"/>
          </w:tcPr>
          <w:p w:rsidR="005D50D0" w:rsidRPr="007328BA" w:rsidRDefault="005D50D0" w:rsidP="00552F21">
            <w:pPr>
              <w:rPr>
                <w:b/>
              </w:rPr>
            </w:pPr>
            <w:r w:rsidRPr="007328BA">
              <w:rPr>
                <w:b/>
              </w:rPr>
              <w:t>Departments Supporting Objective</w:t>
            </w:r>
          </w:p>
        </w:tc>
        <w:tc>
          <w:tcPr>
            <w:tcW w:w="0" w:type="auto"/>
            <w:vAlign w:val="center"/>
          </w:tcPr>
          <w:p w:rsidR="005D50D0" w:rsidRPr="007328BA" w:rsidRDefault="005D50D0" w:rsidP="00552F21">
            <w:pPr>
              <w:rPr>
                <w:b/>
              </w:rPr>
            </w:pPr>
            <w:r w:rsidRPr="007328BA">
              <w:rPr>
                <w:b/>
              </w:rPr>
              <w:t>Timeline From/To</w:t>
            </w:r>
          </w:p>
        </w:tc>
      </w:tr>
      <w:tr w:rsidR="005D50D0" w:rsidTr="00DE4AE4">
        <w:trPr>
          <w:cantSplit/>
          <w:tblHeader/>
        </w:trPr>
        <w:tc>
          <w:tcPr>
            <w:tcW w:w="2178" w:type="dxa"/>
            <w:vAlign w:val="center"/>
          </w:tcPr>
          <w:p w:rsidR="005D50D0" w:rsidRPr="007328BA" w:rsidRDefault="005D50D0" w:rsidP="00552F21">
            <w:pPr>
              <w:rPr>
                <w:i/>
                <w:sz w:val="20"/>
                <w:szCs w:val="20"/>
              </w:rPr>
            </w:pPr>
            <w:r w:rsidRPr="007328BA">
              <w:rPr>
                <w:i/>
                <w:sz w:val="20"/>
                <w:szCs w:val="20"/>
              </w:rPr>
              <w:t xml:space="preserve">operationalizes a strategic goal and specifically describes what the institution wants to accomplish.  </w:t>
            </w:r>
          </w:p>
        </w:tc>
        <w:tc>
          <w:tcPr>
            <w:tcW w:w="3195" w:type="dxa"/>
            <w:vAlign w:val="center"/>
          </w:tcPr>
          <w:p w:rsidR="005D50D0" w:rsidRPr="007328BA" w:rsidRDefault="005D50D0" w:rsidP="00552F21">
            <w:pPr>
              <w:rPr>
                <w:i/>
                <w:sz w:val="20"/>
                <w:szCs w:val="20"/>
              </w:rPr>
            </w:pPr>
            <w:r w:rsidRPr="007328BA">
              <w:rPr>
                <w:i/>
                <w:sz w:val="20"/>
                <w:szCs w:val="20"/>
              </w:rPr>
              <w:t>The changed behaviors or conditions that should result when the objective is met; the benefits of meeting an objective.</w:t>
            </w:r>
          </w:p>
        </w:tc>
        <w:tc>
          <w:tcPr>
            <w:tcW w:w="2312" w:type="dxa"/>
            <w:vAlign w:val="center"/>
          </w:tcPr>
          <w:p w:rsidR="005D50D0" w:rsidRPr="007328BA" w:rsidRDefault="005D50D0" w:rsidP="00552F21">
            <w:pPr>
              <w:rPr>
                <w:i/>
                <w:sz w:val="20"/>
                <w:szCs w:val="20"/>
              </w:rPr>
            </w:pPr>
            <w:r w:rsidRPr="007328BA">
              <w:rPr>
                <w:i/>
                <w:sz w:val="20"/>
                <w:szCs w:val="20"/>
              </w:rPr>
              <w:t xml:space="preserve">The tool or method used to gather data and evidence to determine if the objective is met.  </w:t>
            </w:r>
          </w:p>
        </w:tc>
        <w:tc>
          <w:tcPr>
            <w:tcW w:w="2178" w:type="dxa"/>
            <w:vAlign w:val="center"/>
          </w:tcPr>
          <w:p w:rsidR="005D50D0" w:rsidRPr="007328BA" w:rsidRDefault="005D50D0" w:rsidP="00552F21">
            <w:pPr>
              <w:rPr>
                <w:i/>
                <w:sz w:val="20"/>
                <w:szCs w:val="20"/>
              </w:rPr>
            </w:pPr>
            <w:r w:rsidRPr="007328BA">
              <w:rPr>
                <w:i/>
                <w:sz w:val="20"/>
                <w:szCs w:val="20"/>
              </w:rPr>
              <w:t xml:space="preserve">The actual measurement used to determine when the objective has been met.  </w:t>
            </w:r>
          </w:p>
        </w:tc>
        <w:tc>
          <w:tcPr>
            <w:tcW w:w="2298" w:type="dxa"/>
            <w:vAlign w:val="center"/>
          </w:tcPr>
          <w:p w:rsidR="005D50D0" w:rsidRPr="007328BA" w:rsidRDefault="005D50D0" w:rsidP="00552F21">
            <w:pPr>
              <w:rPr>
                <w:i/>
                <w:sz w:val="20"/>
                <w:szCs w:val="20"/>
              </w:rPr>
            </w:pPr>
            <w:r w:rsidRPr="007328BA">
              <w:rPr>
                <w:i/>
                <w:sz w:val="20"/>
                <w:szCs w:val="20"/>
              </w:rPr>
              <w:t>A listing of departments that provide action steps in their unit plans to achieve the objective.</w:t>
            </w:r>
          </w:p>
        </w:tc>
        <w:tc>
          <w:tcPr>
            <w:tcW w:w="0" w:type="auto"/>
            <w:vAlign w:val="center"/>
          </w:tcPr>
          <w:p w:rsidR="005D50D0" w:rsidRPr="007328BA" w:rsidRDefault="005D50D0" w:rsidP="00552F21">
            <w:pPr>
              <w:rPr>
                <w:i/>
                <w:sz w:val="20"/>
                <w:szCs w:val="20"/>
              </w:rPr>
            </w:pPr>
            <w:r w:rsidRPr="007328BA">
              <w:rPr>
                <w:i/>
                <w:sz w:val="20"/>
                <w:szCs w:val="20"/>
              </w:rPr>
              <w:t xml:space="preserve">Over strategic plan (2016-2021), </w:t>
            </w:r>
            <w:r>
              <w:rPr>
                <w:i/>
                <w:sz w:val="20"/>
                <w:szCs w:val="20"/>
              </w:rPr>
              <w:t xml:space="preserve"> </w:t>
            </w:r>
          </w:p>
        </w:tc>
      </w:tr>
      <w:tr w:rsidR="00FC02B5" w:rsidTr="00DE4AE4">
        <w:trPr>
          <w:cantSplit/>
          <w:trHeight w:val="732"/>
        </w:trPr>
        <w:tc>
          <w:tcPr>
            <w:tcW w:w="2178" w:type="dxa"/>
            <w:vMerge w:val="restart"/>
            <w:vAlign w:val="center"/>
          </w:tcPr>
          <w:p w:rsidR="00FC02B5" w:rsidRPr="00223804" w:rsidRDefault="00FC02B5" w:rsidP="00552F21">
            <w:pPr>
              <w:rPr>
                <w:sz w:val="20"/>
                <w:szCs w:val="20"/>
              </w:rPr>
            </w:pPr>
            <w:r>
              <w:rPr>
                <w:sz w:val="20"/>
                <w:szCs w:val="20"/>
              </w:rPr>
              <w:t>1. Ar</w:t>
            </w:r>
            <w:r w:rsidRPr="00D82393">
              <w:rPr>
                <w:sz w:val="20"/>
                <w:szCs w:val="20"/>
              </w:rPr>
              <w:t>ticulate characteristics of rigorous academic expectations and practices</w:t>
            </w:r>
          </w:p>
        </w:tc>
        <w:tc>
          <w:tcPr>
            <w:tcW w:w="3195" w:type="dxa"/>
            <w:vMerge w:val="restart"/>
            <w:vAlign w:val="center"/>
          </w:tcPr>
          <w:p w:rsidR="00FC02B5" w:rsidRPr="00223804" w:rsidRDefault="00FC02B5" w:rsidP="00552F21">
            <w:pPr>
              <w:rPr>
                <w:sz w:val="20"/>
                <w:szCs w:val="20"/>
              </w:rPr>
            </w:pPr>
            <w:r>
              <w:rPr>
                <w:sz w:val="20"/>
                <w:szCs w:val="20"/>
              </w:rPr>
              <w:t>University develops a list of 8 characteristics of rigorous academic expectations and associated practices to be used for assessment</w:t>
            </w:r>
            <w:r w:rsidRPr="007328BA">
              <w:rPr>
                <w:sz w:val="20"/>
                <w:szCs w:val="20"/>
              </w:rPr>
              <w:t xml:space="preserve"> </w:t>
            </w:r>
          </w:p>
        </w:tc>
        <w:tc>
          <w:tcPr>
            <w:tcW w:w="2312" w:type="dxa"/>
            <w:vAlign w:val="center"/>
          </w:tcPr>
          <w:p w:rsidR="00FC02B5" w:rsidRPr="00223804" w:rsidRDefault="00FC02B5" w:rsidP="002E139A">
            <w:pPr>
              <w:rPr>
                <w:sz w:val="20"/>
                <w:szCs w:val="20"/>
              </w:rPr>
            </w:pPr>
            <w:r>
              <w:rPr>
                <w:sz w:val="20"/>
                <w:szCs w:val="20"/>
              </w:rPr>
              <w:t>Faculty Council</w:t>
            </w:r>
            <w:r w:rsidR="002E139A">
              <w:rPr>
                <w:sz w:val="20"/>
                <w:szCs w:val="20"/>
              </w:rPr>
              <w:t xml:space="preserve"> Executive Committee </w:t>
            </w:r>
            <w:r>
              <w:rPr>
                <w:sz w:val="20"/>
                <w:szCs w:val="20"/>
              </w:rPr>
              <w:t>reviews characteristics of rigorous academic expectations</w:t>
            </w:r>
          </w:p>
        </w:tc>
        <w:tc>
          <w:tcPr>
            <w:tcW w:w="2178" w:type="dxa"/>
            <w:vMerge w:val="restart"/>
            <w:vAlign w:val="center"/>
          </w:tcPr>
          <w:p w:rsidR="00FC02B5" w:rsidRPr="00223804" w:rsidRDefault="002E139A" w:rsidP="00552F21">
            <w:pPr>
              <w:rPr>
                <w:sz w:val="20"/>
                <w:szCs w:val="20"/>
              </w:rPr>
            </w:pPr>
            <w:r>
              <w:rPr>
                <w:sz w:val="20"/>
                <w:szCs w:val="20"/>
              </w:rPr>
              <w:t xml:space="preserve">Faculty Council Executive Committee </w:t>
            </w:r>
            <w:r w:rsidR="00FC02B5">
              <w:rPr>
                <w:sz w:val="20"/>
                <w:szCs w:val="20"/>
              </w:rPr>
              <w:t>approves characteristics of rigorous academic expectations</w:t>
            </w:r>
          </w:p>
        </w:tc>
        <w:tc>
          <w:tcPr>
            <w:tcW w:w="2298" w:type="dxa"/>
            <w:vAlign w:val="center"/>
          </w:tcPr>
          <w:p w:rsidR="00FC02B5" w:rsidRPr="00223804" w:rsidRDefault="00FC02B5" w:rsidP="00552F21">
            <w:pPr>
              <w:rPr>
                <w:sz w:val="20"/>
                <w:szCs w:val="20"/>
              </w:rPr>
            </w:pPr>
            <w:r>
              <w:rPr>
                <w:sz w:val="20"/>
                <w:szCs w:val="20"/>
              </w:rPr>
              <w:t>Faculty Council Executive Committee</w:t>
            </w:r>
          </w:p>
        </w:tc>
        <w:tc>
          <w:tcPr>
            <w:tcW w:w="0" w:type="auto"/>
            <w:vAlign w:val="center"/>
          </w:tcPr>
          <w:p w:rsidR="00FC02B5" w:rsidRPr="000A7C81" w:rsidRDefault="00FC02B5" w:rsidP="00552F21">
            <w:pPr>
              <w:rPr>
                <w:color w:val="000000" w:themeColor="text1"/>
                <w:sz w:val="20"/>
                <w:szCs w:val="20"/>
              </w:rPr>
            </w:pPr>
            <w:r w:rsidRPr="000A7C81">
              <w:rPr>
                <w:color w:val="000000" w:themeColor="text1"/>
                <w:sz w:val="20"/>
                <w:szCs w:val="20"/>
              </w:rPr>
              <w:t>FY 2015</w:t>
            </w:r>
          </w:p>
        </w:tc>
      </w:tr>
      <w:tr w:rsidR="00FC02B5" w:rsidTr="00DE4AE4">
        <w:trPr>
          <w:cantSplit/>
        </w:trPr>
        <w:tc>
          <w:tcPr>
            <w:tcW w:w="2178" w:type="dxa"/>
            <w:vMerge/>
            <w:vAlign w:val="center"/>
          </w:tcPr>
          <w:p w:rsidR="00FC02B5" w:rsidRPr="00D82393" w:rsidRDefault="00FC02B5" w:rsidP="00552F21">
            <w:pPr>
              <w:rPr>
                <w:sz w:val="20"/>
                <w:szCs w:val="20"/>
              </w:rPr>
            </w:pPr>
          </w:p>
        </w:tc>
        <w:tc>
          <w:tcPr>
            <w:tcW w:w="3195" w:type="dxa"/>
            <w:vMerge/>
            <w:vAlign w:val="center"/>
          </w:tcPr>
          <w:p w:rsidR="00FC02B5" w:rsidRDefault="00FC02B5" w:rsidP="00552F21">
            <w:pPr>
              <w:rPr>
                <w:sz w:val="20"/>
                <w:szCs w:val="20"/>
              </w:rPr>
            </w:pPr>
          </w:p>
        </w:tc>
        <w:tc>
          <w:tcPr>
            <w:tcW w:w="2312" w:type="dxa"/>
            <w:vAlign w:val="center"/>
          </w:tcPr>
          <w:p w:rsidR="00FC02B5" w:rsidRDefault="00FC02B5" w:rsidP="00552F21">
            <w:pPr>
              <w:rPr>
                <w:sz w:val="20"/>
                <w:szCs w:val="20"/>
              </w:rPr>
            </w:pPr>
            <w:r>
              <w:rPr>
                <w:sz w:val="20"/>
                <w:szCs w:val="20"/>
              </w:rPr>
              <w:t>External consultant reviews characteristics of rigorous academic expectations</w:t>
            </w:r>
          </w:p>
        </w:tc>
        <w:tc>
          <w:tcPr>
            <w:tcW w:w="2178" w:type="dxa"/>
            <w:vMerge/>
            <w:vAlign w:val="center"/>
          </w:tcPr>
          <w:p w:rsidR="00FC02B5" w:rsidRDefault="00FC02B5" w:rsidP="00FC02B5">
            <w:pPr>
              <w:rPr>
                <w:sz w:val="20"/>
                <w:szCs w:val="20"/>
              </w:rPr>
            </w:pPr>
          </w:p>
        </w:tc>
        <w:tc>
          <w:tcPr>
            <w:tcW w:w="2298" w:type="dxa"/>
            <w:vAlign w:val="center"/>
          </w:tcPr>
          <w:p w:rsidR="00FC02B5" w:rsidRDefault="00FC02B5" w:rsidP="00552F21">
            <w:pPr>
              <w:rPr>
                <w:sz w:val="20"/>
                <w:szCs w:val="20"/>
              </w:rPr>
            </w:pPr>
            <w:r>
              <w:rPr>
                <w:sz w:val="20"/>
                <w:szCs w:val="20"/>
              </w:rPr>
              <w:t>Provost</w:t>
            </w:r>
          </w:p>
        </w:tc>
        <w:tc>
          <w:tcPr>
            <w:tcW w:w="0" w:type="auto"/>
            <w:vAlign w:val="center"/>
          </w:tcPr>
          <w:p w:rsidR="00FC02B5" w:rsidRPr="000A7C81" w:rsidRDefault="00FC02B5" w:rsidP="00552F21">
            <w:pPr>
              <w:rPr>
                <w:color w:val="000000" w:themeColor="text1"/>
                <w:sz w:val="20"/>
                <w:szCs w:val="20"/>
              </w:rPr>
            </w:pPr>
            <w:r w:rsidRPr="000A7C81">
              <w:rPr>
                <w:color w:val="000000" w:themeColor="text1"/>
                <w:sz w:val="20"/>
                <w:szCs w:val="20"/>
              </w:rPr>
              <w:t>FY 2015</w:t>
            </w:r>
          </w:p>
        </w:tc>
      </w:tr>
      <w:tr w:rsidR="005D50D0" w:rsidTr="00DE4AE4">
        <w:trPr>
          <w:cantSplit/>
          <w:trHeight w:val="977"/>
        </w:trPr>
        <w:tc>
          <w:tcPr>
            <w:tcW w:w="2178" w:type="dxa"/>
            <w:vMerge/>
            <w:vAlign w:val="center"/>
          </w:tcPr>
          <w:p w:rsidR="005D50D0" w:rsidRPr="00D82393" w:rsidRDefault="005D50D0" w:rsidP="00552F21">
            <w:pPr>
              <w:rPr>
                <w:sz w:val="20"/>
                <w:szCs w:val="20"/>
              </w:rPr>
            </w:pPr>
          </w:p>
        </w:tc>
        <w:tc>
          <w:tcPr>
            <w:tcW w:w="3195" w:type="dxa"/>
            <w:vAlign w:val="center"/>
          </w:tcPr>
          <w:p w:rsidR="005D50D0" w:rsidRPr="00223804" w:rsidRDefault="005D50D0" w:rsidP="00552F21">
            <w:pPr>
              <w:rPr>
                <w:sz w:val="20"/>
                <w:szCs w:val="20"/>
              </w:rPr>
            </w:pPr>
            <w:r w:rsidRPr="007328BA">
              <w:rPr>
                <w:sz w:val="20"/>
                <w:szCs w:val="20"/>
              </w:rPr>
              <w:t xml:space="preserve">Departments </w:t>
            </w:r>
            <w:r>
              <w:rPr>
                <w:sz w:val="20"/>
                <w:szCs w:val="20"/>
              </w:rPr>
              <w:t xml:space="preserve">and programs select 4 items from the university list of </w:t>
            </w:r>
            <w:r w:rsidRPr="002E5190">
              <w:rPr>
                <w:sz w:val="20"/>
                <w:szCs w:val="20"/>
              </w:rPr>
              <w:t>characteristics of rigorous academic expectations</w:t>
            </w:r>
            <w:r>
              <w:rPr>
                <w:sz w:val="20"/>
                <w:szCs w:val="20"/>
              </w:rPr>
              <w:t xml:space="preserve"> and associated practices</w:t>
            </w:r>
            <w:r w:rsidRPr="002E5190">
              <w:rPr>
                <w:sz w:val="20"/>
                <w:szCs w:val="20"/>
              </w:rPr>
              <w:t xml:space="preserve"> to be used for assessment</w:t>
            </w:r>
          </w:p>
        </w:tc>
        <w:tc>
          <w:tcPr>
            <w:tcW w:w="2312" w:type="dxa"/>
            <w:vAlign w:val="center"/>
          </w:tcPr>
          <w:p w:rsidR="005D50D0" w:rsidRDefault="005D50D0" w:rsidP="00552F21">
            <w:pPr>
              <w:rPr>
                <w:sz w:val="20"/>
                <w:szCs w:val="20"/>
              </w:rPr>
            </w:pPr>
            <w:r>
              <w:rPr>
                <w:sz w:val="20"/>
                <w:szCs w:val="20"/>
              </w:rPr>
              <w:t>Department and program annual assessment report</w:t>
            </w:r>
          </w:p>
        </w:tc>
        <w:tc>
          <w:tcPr>
            <w:tcW w:w="2178" w:type="dxa"/>
            <w:vAlign w:val="center"/>
          </w:tcPr>
          <w:p w:rsidR="005D50D0" w:rsidRDefault="005D50D0" w:rsidP="00552F21">
            <w:pPr>
              <w:rPr>
                <w:sz w:val="20"/>
                <w:szCs w:val="20"/>
              </w:rPr>
            </w:pPr>
            <w:r>
              <w:rPr>
                <w:sz w:val="20"/>
                <w:szCs w:val="20"/>
              </w:rPr>
              <w:t>All departments and programs submit report that identifies their selected characteristics</w:t>
            </w:r>
          </w:p>
        </w:tc>
        <w:tc>
          <w:tcPr>
            <w:tcW w:w="2298" w:type="dxa"/>
            <w:vAlign w:val="center"/>
          </w:tcPr>
          <w:p w:rsidR="005D50D0" w:rsidRDefault="005D50D0" w:rsidP="00552F21">
            <w:pPr>
              <w:rPr>
                <w:sz w:val="20"/>
                <w:szCs w:val="20"/>
              </w:rPr>
            </w:pPr>
            <w:r>
              <w:rPr>
                <w:sz w:val="20"/>
                <w:szCs w:val="20"/>
              </w:rPr>
              <w:t>Academic Departments and programs</w:t>
            </w:r>
          </w:p>
          <w:p w:rsidR="005D50D0" w:rsidRDefault="005D50D0" w:rsidP="00552F21">
            <w:pPr>
              <w:rPr>
                <w:sz w:val="20"/>
                <w:szCs w:val="20"/>
              </w:rPr>
            </w:pPr>
          </w:p>
          <w:p w:rsidR="005D50D0" w:rsidRDefault="005D50D0" w:rsidP="00552F21">
            <w:pPr>
              <w:rPr>
                <w:sz w:val="20"/>
                <w:szCs w:val="20"/>
              </w:rPr>
            </w:pPr>
            <w:r>
              <w:rPr>
                <w:sz w:val="20"/>
                <w:szCs w:val="20"/>
              </w:rPr>
              <w:t>Deans</w:t>
            </w:r>
          </w:p>
        </w:tc>
        <w:tc>
          <w:tcPr>
            <w:tcW w:w="0" w:type="auto"/>
            <w:vAlign w:val="center"/>
          </w:tcPr>
          <w:p w:rsidR="005D50D0" w:rsidRPr="000A7C81" w:rsidRDefault="005D50D0" w:rsidP="00552F21">
            <w:pPr>
              <w:rPr>
                <w:color w:val="000000" w:themeColor="text1"/>
                <w:sz w:val="20"/>
                <w:szCs w:val="20"/>
              </w:rPr>
            </w:pPr>
            <w:r w:rsidRPr="000A7C81">
              <w:rPr>
                <w:color w:val="000000" w:themeColor="text1"/>
                <w:sz w:val="20"/>
                <w:szCs w:val="20"/>
              </w:rPr>
              <w:t>FY 2016</w:t>
            </w:r>
          </w:p>
        </w:tc>
      </w:tr>
      <w:tr w:rsidR="005D50D0" w:rsidTr="00DE4AE4">
        <w:trPr>
          <w:cantSplit/>
          <w:trHeight w:val="1214"/>
        </w:trPr>
        <w:tc>
          <w:tcPr>
            <w:tcW w:w="2178" w:type="dxa"/>
            <w:vMerge/>
            <w:vAlign w:val="center"/>
          </w:tcPr>
          <w:p w:rsidR="005D50D0" w:rsidRPr="00D82393" w:rsidRDefault="005D50D0" w:rsidP="00552F21">
            <w:pPr>
              <w:rPr>
                <w:sz w:val="20"/>
                <w:szCs w:val="20"/>
              </w:rPr>
            </w:pPr>
          </w:p>
        </w:tc>
        <w:tc>
          <w:tcPr>
            <w:tcW w:w="3195" w:type="dxa"/>
            <w:vAlign w:val="center"/>
          </w:tcPr>
          <w:p w:rsidR="005D50D0" w:rsidRPr="007328BA" w:rsidRDefault="005D50D0" w:rsidP="00552F21">
            <w:pPr>
              <w:rPr>
                <w:sz w:val="20"/>
                <w:szCs w:val="20"/>
              </w:rPr>
            </w:pPr>
            <w:r>
              <w:rPr>
                <w:sz w:val="20"/>
                <w:szCs w:val="20"/>
              </w:rPr>
              <w:t xml:space="preserve">Departments and programs identify discipline specific characteristics of rigorous academic expectations and associated practices – that are not part of University list – </w:t>
            </w:r>
            <w:r w:rsidR="00FC02B5">
              <w:rPr>
                <w:sz w:val="20"/>
                <w:szCs w:val="20"/>
              </w:rPr>
              <w:t xml:space="preserve">that they want to use </w:t>
            </w:r>
            <w:r>
              <w:rPr>
                <w:sz w:val="20"/>
                <w:szCs w:val="20"/>
              </w:rPr>
              <w:t>for assessment</w:t>
            </w:r>
          </w:p>
        </w:tc>
        <w:tc>
          <w:tcPr>
            <w:tcW w:w="2312" w:type="dxa"/>
            <w:vAlign w:val="center"/>
          </w:tcPr>
          <w:p w:rsidR="005D50D0" w:rsidRDefault="005D50D0" w:rsidP="00552F21">
            <w:pPr>
              <w:rPr>
                <w:sz w:val="20"/>
                <w:szCs w:val="20"/>
              </w:rPr>
            </w:pPr>
            <w:r w:rsidRPr="00551AF8">
              <w:rPr>
                <w:sz w:val="20"/>
                <w:szCs w:val="20"/>
              </w:rPr>
              <w:t xml:space="preserve">Department </w:t>
            </w:r>
            <w:r>
              <w:rPr>
                <w:sz w:val="20"/>
                <w:szCs w:val="20"/>
              </w:rPr>
              <w:t xml:space="preserve">and program </w:t>
            </w:r>
            <w:r w:rsidRPr="00551AF8">
              <w:rPr>
                <w:sz w:val="20"/>
                <w:szCs w:val="20"/>
              </w:rPr>
              <w:t>annual assessment report</w:t>
            </w:r>
          </w:p>
        </w:tc>
        <w:tc>
          <w:tcPr>
            <w:tcW w:w="2178" w:type="dxa"/>
            <w:vAlign w:val="center"/>
          </w:tcPr>
          <w:p w:rsidR="005D50D0" w:rsidRDefault="005D50D0" w:rsidP="00FC02B5">
            <w:pPr>
              <w:rPr>
                <w:sz w:val="20"/>
                <w:szCs w:val="20"/>
              </w:rPr>
            </w:pPr>
            <w:r w:rsidRPr="00551AF8">
              <w:rPr>
                <w:sz w:val="20"/>
                <w:szCs w:val="20"/>
              </w:rPr>
              <w:t>All departments</w:t>
            </w:r>
            <w:r>
              <w:rPr>
                <w:sz w:val="20"/>
                <w:szCs w:val="20"/>
              </w:rPr>
              <w:t xml:space="preserve"> and programs</w:t>
            </w:r>
            <w:r w:rsidRPr="00551AF8">
              <w:rPr>
                <w:sz w:val="20"/>
                <w:szCs w:val="20"/>
              </w:rPr>
              <w:t xml:space="preserve"> report </w:t>
            </w:r>
            <w:r w:rsidR="00FC02B5">
              <w:rPr>
                <w:sz w:val="20"/>
                <w:szCs w:val="20"/>
              </w:rPr>
              <w:t xml:space="preserve">any additional characteristics that they have selected. </w:t>
            </w:r>
          </w:p>
        </w:tc>
        <w:tc>
          <w:tcPr>
            <w:tcW w:w="2298" w:type="dxa"/>
            <w:vAlign w:val="center"/>
          </w:tcPr>
          <w:p w:rsidR="005D50D0" w:rsidRDefault="005D50D0" w:rsidP="00552F21">
            <w:pPr>
              <w:rPr>
                <w:sz w:val="20"/>
                <w:szCs w:val="20"/>
              </w:rPr>
            </w:pPr>
            <w:r>
              <w:rPr>
                <w:sz w:val="20"/>
                <w:szCs w:val="20"/>
              </w:rPr>
              <w:t>Academic Departments and programs</w:t>
            </w:r>
          </w:p>
          <w:p w:rsidR="005D50D0" w:rsidRDefault="005D50D0" w:rsidP="00552F21">
            <w:pPr>
              <w:rPr>
                <w:sz w:val="20"/>
                <w:szCs w:val="20"/>
              </w:rPr>
            </w:pPr>
          </w:p>
          <w:p w:rsidR="005D50D0" w:rsidRDefault="005D50D0" w:rsidP="00552F21">
            <w:pPr>
              <w:rPr>
                <w:sz w:val="20"/>
                <w:szCs w:val="20"/>
              </w:rPr>
            </w:pPr>
            <w:r>
              <w:rPr>
                <w:sz w:val="20"/>
                <w:szCs w:val="20"/>
              </w:rPr>
              <w:t>Deans</w:t>
            </w:r>
          </w:p>
        </w:tc>
        <w:tc>
          <w:tcPr>
            <w:tcW w:w="0" w:type="auto"/>
            <w:vAlign w:val="center"/>
          </w:tcPr>
          <w:p w:rsidR="005D50D0" w:rsidRPr="000A7C81" w:rsidRDefault="005D50D0" w:rsidP="00552F21">
            <w:pPr>
              <w:rPr>
                <w:color w:val="000000" w:themeColor="text1"/>
                <w:sz w:val="20"/>
                <w:szCs w:val="20"/>
              </w:rPr>
            </w:pPr>
            <w:r w:rsidRPr="000A7C81">
              <w:rPr>
                <w:color w:val="000000" w:themeColor="text1"/>
                <w:sz w:val="20"/>
                <w:szCs w:val="20"/>
              </w:rPr>
              <w:t>FY 2016</w:t>
            </w:r>
          </w:p>
        </w:tc>
      </w:tr>
    </w:tbl>
    <w:p w:rsidR="005D50D0" w:rsidRDefault="005D50D0" w:rsidP="005D50D0">
      <w:r>
        <w:br w:type="page"/>
      </w:r>
    </w:p>
    <w:tbl>
      <w:tblPr>
        <w:tblStyle w:val="TableGrid"/>
        <w:tblW w:w="0" w:type="auto"/>
        <w:tblLook w:val="04A0" w:firstRow="1" w:lastRow="0" w:firstColumn="1" w:lastColumn="0" w:noHBand="0" w:noVBand="1"/>
      </w:tblPr>
      <w:tblGrid>
        <w:gridCol w:w="1368"/>
        <w:gridCol w:w="2160"/>
        <w:gridCol w:w="3060"/>
        <w:gridCol w:w="3244"/>
        <w:gridCol w:w="2329"/>
        <w:gridCol w:w="1015"/>
      </w:tblGrid>
      <w:tr w:rsidR="005D50D0" w:rsidTr="00DE4AE4">
        <w:trPr>
          <w:cantSplit/>
          <w:trHeight w:val="1231"/>
        </w:trPr>
        <w:tc>
          <w:tcPr>
            <w:tcW w:w="1368" w:type="dxa"/>
            <w:vAlign w:val="center"/>
          </w:tcPr>
          <w:p w:rsidR="005D50D0" w:rsidRPr="007328BA" w:rsidRDefault="005D50D0" w:rsidP="00552F21">
            <w:pPr>
              <w:rPr>
                <w:b/>
              </w:rPr>
            </w:pPr>
            <w:r w:rsidRPr="007328BA">
              <w:rPr>
                <w:b/>
              </w:rPr>
              <w:lastRenderedPageBreak/>
              <w:t>Objective</w:t>
            </w:r>
          </w:p>
        </w:tc>
        <w:tc>
          <w:tcPr>
            <w:tcW w:w="2160" w:type="dxa"/>
            <w:vAlign w:val="center"/>
          </w:tcPr>
          <w:p w:rsidR="005D50D0" w:rsidRPr="007328BA" w:rsidRDefault="005D50D0" w:rsidP="00552F21">
            <w:pPr>
              <w:rPr>
                <w:b/>
              </w:rPr>
            </w:pPr>
            <w:r w:rsidRPr="007328BA">
              <w:rPr>
                <w:b/>
              </w:rPr>
              <w:t>Desired Outcome</w:t>
            </w:r>
          </w:p>
        </w:tc>
        <w:tc>
          <w:tcPr>
            <w:tcW w:w="3060" w:type="dxa"/>
            <w:vAlign w:val="center"/>
          </w:tcPr>
          <w:p w:rsidR="005D50D0" w:rsidRPr="007328BA" w:rsidRDefault="005D50D0" w:rsidP="00552F21">
            <w:pPr>
              <w:rPr>
                <w:b/>
              </w:rPr>
            </w:pPr>
            <w:r w:rsidRPr="007328BA">
              <w:rPr>
                <w:b/>
              </w:rPr>
              <w:t>Assessment</w:t>
            </w:r>
          </w:p>
        </w:tc>
        <w:tc>
          <w:tcPr>
            <w:tcW w:w="3244" w:type="dxa"/>
            <w:vAlign w:val="center"/>
          </w:tcPr>
          <w:p w:rsidR="005D50D0" w:rsidRDefault="005D50D0" w:rsidP="00552F21">
            <w:pPr>
              <w:rPr>
                <w:b/>
              </w:rPr>
            </w:pPr>
          </w:p>
          <w:p w:rsidR="005D50D0" w:rsidRDefault="005D50D0" w:rsidP="00552F21">
            <w:pPr>
              <w:rPr>
                <w:b/>
              </w:rPr>
            </w:pPr>
            <w:r w:rsidRPr="007328BA">
              <w:rPr>
                <w:b/>
              </w:rPr>
              <w:t>Metric</w:t>
            </w:r>
          </w:p>
          <w:p w:rsidR="005D50D0" w:rsidRPr="00BA62A6" w:rsidRDefault="005D50D0" w:rsidP="00552F21">
            <w:pPr>
              <w:rPr>
                <w:b/>
                <w:color w:val="4F6228" w:themeColor="accent3" w:themeShade="80"/>
              </w:rPr>
            </w:pPr>
          </w:p>
        </w:tc>
        <w:tc>
          <w:tcPr>
            <w:tcW w:w="2329" w:type="dxa"/>
            <w:vAlign w:val="center"/>
          </w:tcPr>
          <w:p w:rsidR="005D50D0" w:rsidRPr="007328BA" w:rsidRDefault="005D50D0" w:rsidP="00552F21">
            <w:pPr>
              <w:rPr>
                <w:b/>
              </w:rPr>
            </w:pPr>
            <w:r w:rsidRPr="007328BA">
              <w:rPr>
                <w:b/>
              </w:rPr>
              <w:t>Departments Supporting Objective</w:t>
            </w:r>
          </w:p>
        </w:tc>
        <w:tc>
          <w:tcPr>
            <w:tcW w:w="0" w:type="auto"/>
            <w:vAlign w:val="center"/>
          </w:tcPr>
          <w:p w:rsidR="005D50D0" w:rsidRPr="007328BA" w:rsidRDefault="005D50D0" w:rsidP="00552F21">
            <w:pPr>
              <w:rPr>
                <w:b/>
              </w:rPr>
            </w:pPr>
            <w:r w:rsidRPr="007328BA">
              <w:rPr>
                <w:b/>
              </w:rPr>
              <w:t>Timeline From/To</w:t>
            </w:r>
          </w:p>
        </w:tc>
      </w:tr>
      <w:tr w:rsidR="005D50D0" w:rsidTr="00DE4AE4">
        <w:trPr>
          <w:cantSplit/>
          <w:trHeight w:val="1231"/>
        </w:trPr>
        <w:tc>
          <w:tcPr>
            <w:tcW w:w="1368" w:type="dxa"/>
            <w:vMerge w:val="restart"/>
            <w:vAlign w:val="center"/>
          </w:tcPr>
          <w:p w:rsidR="005D50D0" w:rsidRDefault="005D50D0" w:rsidP="00552F21">
            <w:pPr>
              <w:rPr>
                <w:sz w:val="20"/>
                <w:szCs w:val="20"/>
              </w:rPr>
            </w:pPr>
          </w:p>
          <w:p w:rsidR="005D50D0" w:rsidRPr="00223804" w:rsidRDefault="005D50D0" w:rsidP="00552F21">
            <w:pPr>
              <w:rPr>
                <w:sz w:val="20"/>
                <w:szCs w:val="20"/>
              </w:rPr>
            </w:pPr>
            <w:r>
              <w:rPr>
                <w:sz w:val="20"/>
                <w:szCs w:val="20"/>
              </w:rPr>
              <w:t xml:space="preserve">2. </w:t>
            </w:r>
            <w:r w:rsidRPr="00D82393">
              <w:rPr>
                <w:sz w:val="20"/>
                <w:szCs w:val="20"/>
              </w:rPr>
              <w:t>Raise the level of academic rigor.</w:t>
            </w:r>
          </w:p>
        </w:tc>
        <w:tc>
          <w:tcPr>
            <w:tcW w:w="2160" w:type="dxa"/>
            <w:vMerge w:val="restart"/>
            <w:vAlign w:val="center"/>
          </w:tcPr>
          <w:p w:rsidR="005D50D0" w:rsidRPr="000A7C81" w:rsidRDefault="005D50D0" w:rsidP="00552F21">
            <w:pPr>
              <w:rPr>
                <w:color w:val="000000" w:themeColor="text1"/>
                <w:sz w:val="20"/>
                <w:szCs w:val="20"/>
              </w:rPr>
            </w:pPr>
            <w:r w:rsidRPr="000A7C81">
              <w:rPr>
                <w:color w:val="000000" w:themeColor="text1"/>
                <w:sz w:val="20"/>
                <w:szCs w:val="20"/>
              </w:rPr>
              <w:t>Increase the number of courses and other academic activities with characteristics of rigorous academic expectations</w:t>
            </w:r>
            <w:r>
              <w:rPr>
                <w:sz w:val="20"/>
                <w:szCs w:val="20"/>
              </w:rPr>
              <w:t xml:space="preserve"> and associated practices</w:t>
            </w:r>
            <w:r w:rsidRPr="000A7C81">
              <w:rPr>
                <w:color w:val="000000" w:themeColor="text1"/>
                <w:sz w:val="20"/>
                <w:szCs w:val="20"/>
              </w:rPr>
              <w:t xml:space="preserve"> that enhance the students’ experience.</w:t>
            </w:r>
          </w:p>
          <w:p w:rsidR="005D50D0" w:rsidRPr="000A7C81" w:rsidRDefault="005D50D0" w:rsidP="00552F21">
            <w:pPr>
              <w:rPr>
                <w:color w:val="000000" w:themeColor="text1"/>
                <w:sz w:val="20"/>
                <w:szCs w:val="20"/>
              </w:rPr>
            </w:pPr>
          </w:p>
        </w:tc>
        <w:tc>
          <w:tcPr>
            <w:tcW w:w="3060" w:type="dxa"/>
            <w:vAlign w:val="center"/>
          </w:tcPr>
          <w:p w:rsidR="005D50D0" w:rsidRDefault="005D50D0" w:rsidP="00552F21">
            <w:pPr>
              <w:rPr>
                <w:sz w:val="20"/>
                <w:szCs w:val="20"/>
              </w:rPr>
            </w:pPr>
            <w:r>
              <w:rPr>
                <w:sz w:val="20"/>
                <w:szCs w:val="20"/>
              </w:rPr>
              <w:t xml:space="preserve">Departmental course material analysis </w:t>
            </w:r>
          </w:p>
          <w:p w:rsidR="005D50D0" w:rsidRDefault="005D50D0" w:rsidP="00552F21">
            <w:pPr>
              <w:rPr>
                <w:sz w:val="20"/>
                <w:szCs w:val="20"/>
              </w:rPr>
            </w:pPr>
            <w:r>
              <w:rPr>
                <w:sz w:val="20"/>
                <w:szCs w:val="20"/>
              </w:rPr>
              <w:t>(e.g. Syllabus review)</w:t>
            </w:r>
          </w:p>
          <w:p w:rsidR="005D50D0" w:rsidRPr="00223804" w:rsidRDefault="005D50D0" w:rsidP="00552F21">
            <w:pPr>
              <w:rPr>
                <w:sz w:val="20"/>
                <w:szCs w:val="20"/>
              </w:rPr>
            </w:pPr>
          </w:p>
        </w:tc>
        <w:tc>
          <w:tcPr>
            <w:tcW w:w="3244" w:type="dxa"/>
            <w:vAlign w:val="center"/>
          </w:tcPr>
          <w:p w:rsidR="005D50D0" w:rsidRPr="006236C5" w:rsidRDefault="005D50D0" w:rsidP="00552F21">
            <w:pPr>
              <w:rPr>
                <w:color w:val="000000" w:themeColor="text1"/>
                <w:sz w:val="20"/>
                <w:szCs w:val="20"/>
              </w:rPr>
            </w:pPr>
            <w:r>
              <w:rPr>
                <w:color w:val="000000" w:themeColor="text1"/>
                <w:sz w:val="20"/>
                <w:szCs w:val="20"/>
              </w:rPr>
              <w:t>Collate departmental analyses to meet (or exceed) desired benchmarks for</w:t>
            </w:r>
            <w:r w:rsidRPr="006236C5">
              <w:rPr>
                <w:color w:val="000000" w:themeColor="text1"/>
                <w:sz w:val="20"/>
                <w:szCs w:val="20"/>
              </w:rPr>
              <w:t xml:space="preserve"> university level (i.e., 7 of 8 colleges </w:t>
            </w:r>
            <w:r>
              <w:rPr>
                <w:color w:val="000000" w:themeColor="text1"/>
                <w:sz w:val="20"/>
                <w:szCs w:val="20"/>
              </w:rPr>
              <w:t>have met benchmarks</w:t>
            </w:r>
            <w:r w:rsidRPr="006236C5">
              <w:rPr>
                <w:color w:val="000000" w:themeColor="text1"/>
                <w:sz w:val="20"/>
                <w:szCs w:val="20"/>
              </w:rPr>
              <w:t>)</w:t>
            </w:r>
          </w:p>
        </w:tc>
        <w:tc>
          <w:tcPr>
            <w:tcW w:w="2329" w:type="dxa"/>
            <w:vAlign w:val="center"/>
          </w:tcPr>
          <w:p w:rsidR="005D50D0" w:rsidRDefault="005D50D0" w:rsidP="00552F21">
            <w:pPr>
              <w:rPr>
                <w:sz w:val="20"/>
                <w:szCs w:val="20"/>
              </w:rPr>
            </w:pPr>
            <w:r w:rsidRPr="00223804">
              <w:rPr>
                <w:sz w:val="20"/>
                <w:szCs w:val="20"/>
              </w:rPr>
              <w:t xml:space="preserve">Unit/department </w:t>
            </w:r>
          </w:p>
          <w:p w:rsidR="005D50D0" w:rsidRDefault="005D50D0" w:rsidP="00552F21">
            <w:pPr>
              <w:rPr>
                <w:sz w:val="20"/>
                <w:szCs w:val="20"/>
              </w:rPr>
            </w:pPr>
          </w:p>
          <w:p w:rsidR="005D50D0" w:rsidRDefault="005D50D0" w:rsidP="00552F21">
            <w:pPr>
              <w:rPr>
                <w:sz w:val="20"/>
                <w:szCs w:val="20"/>
              </w:rPr>
            </w:pPr>
            <w:r>
              <w:rPr>
                <w:sz w:val="20"/>
                <w:szCs w:val="20"/>
              </w:rPr>
              <w:t>Office of Teaching Learning and Assessment</w:t>
            </w:r>
          </w:p>
          <w:p w:rsidR="005D50D0" w:rsidRPr="00223804" w:rsidRDefault="005D50D0" w:rsidP="00552F21">
            <w:pPr>
              <w:rPr>
                <w:sz w:val="20"/>
                <w:szCs w:val="20"/>
              </w:rPr>
            </w:pPr>
          </w:p>
        </w:tc>
        <w:tc>
          <w:tcPr>
            <w:tcW w:w="0" w:type="auto"/>
            <w:vAlign w:val="center"/>
          </w:tcPr>
          <w:p w:rsidR="005D50D0" w:rsidRDefault="005D50D0" w:rsidP="00552F21">
            <w:pPr>
              <w:rPr>
                <w:sz w:val="20"/>
                <w:szCs w:val="20"/>
              </w:rPr>
            </w:pPr>
            <w:r>
              <w:rPr>
                <w:sz w:val="20"/>
                <w:szCs w:val="20"/>
              </w:rPr>
              <w:t>Initial- 2016.</w:t>
            </w:r>
          </w:p>
          <w:p w:rsidR="005D50D0" w:rsidRDefault="005D50D0" w:rsidP="00552F21">
            <w:pPr>
              <w:rPr>
                <w:sz w:val="20"/>
                <w:szCs w:val="20"/>
              </w:rPr>
            </w:pPr>
          </w:p>
          <w:p w:rsidR="005D50D0" w:rsidRPr="00223804" w:rsidRDefault="005D50D0" w:rsidP="00552F21">
            <w:pPr>
              <w:rPr>
                <w:sz w:val="20"/>
                <w:szCs w:val="20"/>
              </w:rPr>
            </w:pPr>
            <w:r>
              <w:rPr>
                <w:sz w:val="20"/>
                <w:szCs w:val="20"/>
              </w:rPr>
              <w:t>Follow up - 2021</w:t>
            </w:r>
          </w:p>
        </w:tc>
      </w:tr>
      <w:tr w:rsidR="005D50D0" w:rsidTr="00DE4AE4">
        <w:trPr>
          <w:cantSplit/>
        </w:trPr>
        <w:tc>
          <w:tcPr>
            <w:tcW w:w="1368" w:type="dxa"/>
            <w:vMerge/>
            <w:vAlign w:val="center"/>
          </w:tcPr>
          <w:p w:rsidR="005D50D0" w:rsidRPr="00D82393" w:rsidRDefault="005D50D0" w:rsidP="00552F21">
            <w:pPr>
              <w:rPr>
                <w:sz w:val="20"/>
                <w:szCs w:val="20"/>
              </w:rPr>
            </w:pPr>
          </w:p>
        </w:tc>
        <w:tc>
          <w:tcPr>
            <w:tcW w:w="2160" w:type="dxa"/>
            <w:vMerge/>
            <w:vAlign w:val="center"/>
          </w:tcPr>
          <w:p w:rsidR="005D50D0" w:rsidRPr="000A7C81" w:rsidRDefault="005D50D0" w:rsidP="00552F21">
            <w:pPr>
              <w:rPr>
                <w:color w:val="000000" w:themeColor="text1"/>
                <w:sz w:val="20"/>
                <w:szCs w:val="20"/>
              </w:rPr>
            </w:pPr>
          </w:p>
        </w:tc>
        <w:tc>
          <w:tcPr>
            <w:tcW w:w="3060" w:type="dxa"/>
            <w:vAlign w:val="center"/>
          </w:tcPr>
          <w:p w:rsidR="005D50D0" w:rsidRDefault="002E139A" w:rsidP="00552F21">
            <w:pPr>
              <w:rPr>
                <w:sz w:val="20"/>
                <w:szCs w:val="20"/>
              </w:rPr>
            </w:pPr>
            <w:r>
              <w:rPr>
                <w:sz w:val="20"/>
                <w:szCs w:val="20"/>
              </w:rPr>
              <w:t xml:space="preserve">Faculty Council Executive Committee </w:t>
            </w:r>
            <w:r w:rsidR="005D50D0">
              <w:rPr>
                <w:sz w:val="20"/>
                <w:szCs w:val="20"/>
              </w:rPr>
              <w:t>identifies questions from NSSE and other surveys that ask about characteristics of rigorous academic expectations</w:t>
            </w:r>
          </w:p>
        </w:tc>
        <w:tc>
          <w:tcPr>
            <w:tcW w:w="3244" w:type="dxa"/>
            <w:vAlign w:val="center"/>
          </w:tcPr>
          <w:p w:rsidR="005D50D0" w:rsidRPr="006236C5" w:rsidRDefault="005D50D0" w:rsidP="00552F21">
            <w:pPr>
              <w:rPr>
                <w:color w:val="000000" w:themeColor="text1"/>
                <w:sz w:val="20"/>
                <w:szCs w:val="20"/>
              </w:rPr>
            </w:pPr>
            <w:r w:rsidRPr="006236C5">
              <w:rPr>
                <w:color w:val="000000" w:themeColor="text1"/>
                <w:sz w:val="20"/>
                <w:szCs w:val="20"/>
              </w:rPr>
              <w:t xml:space="preserve">Meet (or exceed) desired department benchmarks determined by </w:t>
            </w:r>
            <w:r w:rsidR="002E139A">
              <w:rPr>
                <w:sz w:val="20"/>
                <w:szCs w:val="20"/>
              </w:rPr>
              <w:t xml:space="preserve">Faculty Council Executive Committee </w:t>
            </w:r>
            <w:r w:rsidRPr="006236C5">
              <w:rPr>
                <w:color w:val="000000" w:themeColor="text1"/>
                <w:sz w:val="20"/>
                <w:szCs w:val="20"/>
              </w:rPr>
              <w:t xml:space="preserve">after relevant NSSE </w:t>
            </w:r>
          </w:p>
          <w:p w:rsidR="005D50D0" w:rsidRPr="006236C5" w:rsidRDefault="005D50D0" w:rsidP="00552F21">
            <w:pPr>
              <w:rPr>
                <w:color w:val="000000" w:themeColor="text1"/>
                <w:sz w:val="20"/>
                <w:szCs w:val="20"/>
              </w:rPr>
            </w:pPr>
            <w:r w:rsidRPr="006236C5">
              <w:rPr>
                <w:color w:val="000000" w:themeColor="text1"/>
                <w:sz w:val="20"/>
                <w:szCs w:val="20"/>
              </w:rPr>
              <w:t>and FSSE questions identified and initial results reviewed</w:t>
            </w:r>
          </w:p>
        </w:tc>
        <w:tc>
          <w:tcPr>
            <w:tcW w:w="2329" w:type="dxa"/>
            <w:vAlign w:val="center"/>
          </w:tcPr>
          <w:p w:rsidR="005D50D0" w:rsidRDefault="002E139A" w:rsidP="00552F21">
            <w:pPr>
              <w:rPr>
                <w:sz w:val="20"/>
                <w:szCs w:val="20"/>
              </w:rPr>
            </w:pPr>
            <w:r>
              <w:rPr>
                <w:sz w:val="20"/>
                <w:szCs w:val="20"/>
              </w:rPr>
              <w:t xml:space="preserve">Faculty Council Executive Committee </w:t>
            </w:r>
          </w:p>
          <w:p w:rsidR="002E139A" w:rsidRDefault="002E139A" w:rsidP="00552F21">
            <w:pPr>
              <w:rPr>
                <w:sz w:val="20"/>
                <w:szCs w:val="20"/>
              </w:rPr>
            </w:pPr>
          </w:p>
          <w:p w:rsidR="005D50D0" w:rsidRDefault="005D50D0" w:rsidP="00552F21">
            <w:pPr>
              <w:rPr>
                <w:sz w:val="20"/>
                <w:szCs w:val="20"/>
              </w:rPr>
            </w:pPr>
            <w:r>
              <w:rPr>
                <w:sz w:val="20"/>
                <w:szCs w:val="20"/>
              </w:rPr>
              <w:t>Office of Teaching Learning and Assessment</w:t>
            </w:r>
          </w:p>
          <w:p w:rsidR="005D50D0" w:rsidRPr="00223804" w:rsidRDefault="005D50D0" w:rsidP="00552F21">
            <w:pPr>
              <w:rPr>
                <w:sz w:val="20"/>
                <w:szCs w:val="20"/>
              </w:rPr>
            </w:pPr>
          </w:p>
        </w:tc>
        <w:tc>
          <w:tcPr>
            <w:tcW w:w="0" w:type="auto"/>
            <w:vAlign w:val="center"/>
          </w:tcPr>
          <w:p w:rsidR="005D50D0" w:rsidRPr="00551AF8" w:rsidRDefault="005D50D0" w:rsidP="00552F21">
            <w:pPr>
              <w:rPr>
                <w:sz w:val="20"/>
                <w:szCs w:val="20"/>
              </w:rPr>
            </w:pPr>
            <w:r w:rsidRPr="00551AF8">
              <w:rPr>
                <w:sz w:val="20"/>
                <w:szCs w:val="20"/>
              </w:rPr>
              <w:t>Initial- 2016.</w:t>
            </w:r>
          </w:p>
          <w:p w:rsidR="005D50D0" w:rsidRPr="00551AF8" w:rsidRDefault="005D50D0" w:rsidP="00552F21">
            <w:pPr>
              <w:rPr>
                <w:sz w:val="20"/>
                <w:szCs w:val="20"/>
              </w:rPr>
            </w:pPr>
          </w:p>
          <w:p w:rsidR="005D50D0" w:rsidRDefault="005D50D0" w:rsidP="00552F21">
            <w:pPr>
              <w:rPr>
                <w:sz w:val="20"/>
                <w:szCs w:val="20"/>
              </w:rPr>
            </w:pPr>
            <w:r w:rsidRPr="00551AF8">
              <w:rPr>
                <w:sz w:val="20"/>
                <w:szCs w:val="20"/>
              </w:rPr>
              <w:t>Follow up - 2021</w:t>
            </w:r>
          </w:p>
        </w:tc>
      </w:tr>
      <w:tr w:rsidR="005D50D0" w:rsidTr="00DE4AE4">
        <w:trPr>
          <w:cantSplit/>
        </w:trPr>
        <w:tc>
          <w:tcPr>
            <w:tcW w:w="1368" w:type="dxa"/>
            <w:vMerge/>
            <w:vAlign w:val="center"/>
          </w:tcPr>
          <w:p w:rsidR="005D50D0" w:rsidRPr="00D82393" w:rsidRDefault="005D50D0" w:rsidP="00552F21">
            <w:pPr>
              <w:rPr>
                <w:sz w:val="20"/>
                <w:szCs w:val="20"/>
              </w:rPr>
            </w:pPr>
          </w:p>
        </w:tc>
        <w:tc>
          <w:tcPr>
            <w:tcW w:w="2160" w:type="dxa"/>
            <w:vMerge/>
            <w:vAlign w:val="center"/>
          </w:tcPr>
          <w:p w:rsidR="005D50D0" w:rsidRPr="000A7C81" w:rsidRDefault="005D50D0" w:rsidP="00552F21">
            <w:pPr>
              <w:rPr>
                <w:color w:val="000000" w:themeColor="text1"/>
                <w:sz w:val="20"/>
                <w:szCs w:val="20"/>
              </w:rPr>
            </w:pPr>
          </w:p>
        </w:tc>
        <w:tc>
          <w:tcPr>
            <w:tcW w:w="3060" w:type="dxa"/>
            <w:vAlign w:val="center"/>
          </w:tcPr>
          <w:p w:rsidR="005D50D0" w:rsidRDefault="002E139A" w:rsidP="00552F21">
            <w:pPr>
              <w:rPr>
                <w:sz w:val="20"/>
                <w:szCs w:val="20"/>
              </w:rPr>
            </w:pPr>
            <w:r>
              <w:rPr>
                <w:sz w:val="20"/>
                <w:szCs w:val="20"/>
              </w:rPr>
              <w:t xml:space="preserve">Faculty Council Executive Committee </w:t>
            </w:r>
            <w:r w:rsidR="005D50D0">
              <w:rPr>
                <w:sz w:val="20"/>
                <w:szCs w:val="20"/>
              </w:rPr>
              <w:t>works with units to use existing processes (ie Weave) to report out direct assessment of rigorous academic practices</w:t>
            </w:r>
          </w:p>
        </w:tc>
        <w:tc>
          <w:tcPr>
            <w:tcW w:w="3244" w:type="dxa"/>
            <w:vAlign w:val="center"/>
          </w:tcPr>
          <w:p w:rsidR="005D50D0" w:rsidRPr="006236C5" w:rsidRDefault="005D50D0" w:rsidP="00552F21">
            <w:pPr>
              <w:rPr>
                <w:color w:val="000000" w:themeColor="text1"/>
                <w:sz w:val="20"/>
                <w:szCs w:val="20"/>
              </w:rPr>
            </w:pPr>
            <w:r>
              <w:rPr>
                <w:color w:val="000000" w:themeColor="text1"/>
                <w:sz w:val="20"/>
                <w:szCs w:val="20"/>
              </w:rPr>
              <w:t>Weave reports contain actionable feedback</w:t>
            </w:r>
          </w:p>
        </w:tc>
        <w:tc>
          <w:tcPr>
            <w:tcW w:w="2329" w:type="dxa"/>
            <w:vAlign w:val="center"/>
          </w:tcPr>
          <w:p w:rsidR="005D50D0" w:rsidRDefault="002E139A" w:rsidP="00552F21">
            <w:pPr>
              <w:rPr>
                <w:sz w:val="20"/>
                <w:szCs w:val="20"/>
              </w:rPr>
            </w:pPr>
            <w:r>
              <w:rPr>
                <w:sz w:val="20"/>
                <w:szCs w:val="20"/>
              </w:rPr>
              <w:t xml:space="preserve">Faculty Council Executive Committee </w:t>
            </w:r>
          </w:p>
          <w:p w:rsidR="002E139A" w:rsidRDefault="002E139A" w:rsidP="00552F21">
            <w:pPr>
              <w:rPr>
                <w:sz w:val="20"/>
                <w:szCs w:val="20"/>
              </w:rPr>
            </w:pPr>
          </w:p>
          <w:p w:rsidR="005D50D0" w:rsidRDefault="005D50D0" w:rsidP="00552F21">
            <w:pPr>
              <w:rPr>
                <w:sz w:val="20"/>
                <w:szCs w:val="20"/>
              </w:rPr>
            </w:pPr>
            <w:r>
              <w:rPr>
                <w:sz w:val="20"/>
                <w:szCs w:val="20"/>
              </w:rPr>
              <w:t>Office of Teaching Learning and Assessment</w:t>
            </w:r>
          </w:p>
          <w:p w:rsidR="005D50D0" w:rsidRDefault="005D50D0" w:rsidP="00552F21">
            <w:pPr>
              <w:rPr>
                <w:sz w:val="20"/>
                <w:szCs w:val="20"/>
              </w:rPr>
            </w:pPr>
          </w:p>
        </w:tc>
        <w:tc>
          <w:tcPr>
            <w:tcW w:w="0" w:type="auto"/>
            <w:vAlign w:val="center"/>
          </w:tcPr>
          <w:p w:rsidR="005D50D0" w:rsidRPr="00551AF8" w:rsidRDefault="005D50D0" w:rsidP="00552F21">
            <w:pPr>
              <w:rPr>
                <w:sz w:val="20"/>
                <w:szCs w:val="20"/>
              </w:rPr>
            </w:pPr>
            <w:r w:rsidRPr="00551AF8">
              <w:rPr>
                <w:sz w:val="20"/>
                <w:szCs w:val="20"/>
              </w:rPr>
              <w:t>Initial- 2016.</w:t>
            </w:r>
          </w:p>
          <w:p w:rsidR="005D50D0" w:rsidRPr="00551AF8" w:rsidRDefault="005D50D0" w:rsidP="00552F21">
            <w:pPr>
              <w:rPr>
                <w:sz w:val="20"/>
                <w:szCs w:val="20"/>
              </w:rPr>
            </w:pPr>
          </w:p>
          <w:p w:rsidR="005D50D0" w:rsidRPr="00551AF8" w:rsidRDefault="005D50D0" w:rsidP="00552F21">
            <w:pPr>
              <w:rPr>
                <w:sz w:val="20"/>
                <w:szCs w:val="20"/>
              </w:rPr>
            </w:pPr>
            <w:r w:rsidRPr="00551AF8">
              <w:rPr>
                <w:sz w:val="20"/>
                <w:szCs w:val="20"/>
              </w:rPr>
              <w:t>Follow up - 2021</w:t>
            </w:r>
          </w:p>
        </w:tc>
      </w:tr>
      <w:tr w:rsidR="005D50D0" w:rsidTr="00DE4AE4">
        <w:trPr>
          <w:cantSplit/>
        </w:trPr>
        <w:tc>
          <w:tcPr>
            <w:tcW w:w="1368" w:type="dxa"/>
            <w:vMerge/>
            <w:vAlign w:val="center"/>
          </w:tcPr>
          <w:p w:rsidR="005D50D0" w:rsidRPr="00D82393" w:rsidRDefault="005D50D0" w:rsidP="00552F21">
            <w:pPr>
              <w:rPr>
                <w:sz w:val="20"/>
                <w:szCs w:val="20"/>
              </w:rPr>
            </w:pPr>
          </w:p>
        </w:tc>
        <w:tc>
          <w:tcPr>
            <w:tcW w:w="2160" w:type="dxa"/>
            <w:vMerge w:val="restart"/>
            <w:vAlign w:val="center"/>
          </w:tcPr>
          <w:p w:rsidR="005D50D0" w:rsidRPr="000A7C81" w:rsidRDefault="005D50D0" w:rsidP="00552F21">
            <w:pPr>
              <w:rPr>
                <w:color w:val="000000" w:themeColor="text1"/>
                <w:sz w:val="20"/>
                <w:szCs w:val="20"/>
              </w:rPr>
            </w:pPr>
            <w:r w:rsidRPr="000A7C81">
              <w:rPr>
                <w:color w:val="000000" w:themeColor="text1"/>
                <w:sz w:val="20"/>
                <w:szCs w:val="20"/>
              </w:rPr>
              <w:t>Increase number of characteristics of rigorous academic expectations</w:t>
            </w:r>
            <w:r>
              <w:rPr>
                <w:sz w:val="20"/>
                <w:szCs w:val="20"/>
              </w:rPr>
              <w:t xml:space="preserve"> and associated practices</w:t>
            </w:r>
            <w:r w:rsidRPr="000A7C81">
              <w:rPr>
                <w:color w:val="000000" w:themeColor="text1"/>
                <w:sz w:val="20"/>
                <w:szCs w:val="20"/>
              </w:rPr>
              <w:t xml:space="preserve"> found in courses expectations that enhance the students’ experience.</w:t>
            </w:r>
          </w:p>
        </w:tc>
        <w:tc>
          <w:tcPr>
            <w:tcW w:w="3060" w:type="dxa"/>
            <w:vAlign w:val="center"/>
          </w:tcPr>
          <w:p w:rsidR="005D50D0" w:rsidRDefault="005D50D0" w:rsidP="00552F21">
            <w:pPr>
              <w:rPr>
                <w:sz w:val="20"/>
                <w:szCs w:val="20"/>
              </w:rPr>
            </w:pPr>
            <w:r>
              <w:rPr>
                <w:sz w:val="20"/>
                <w:szCs w:val="20"/>
              </w:rPr>
              <w:t xml:space="preserve">Departmental course material analysis </w:t>
            </w:r>
          </w:p>
          <w:p w:rsidR="005D50D0" w:rsidRDefault="005D50D0" w:rsidP="00552F21">
            <w:pPr>
              <w:rPr>
                <w:sz w:val="20"/>
                <w:szCs w:val="20"/>
              </w:rPr>
            </w:pPr>
            <w:r>
              <w:rPr>
                <w:sz w:val="20"/>
                <w:szCs w:val="20"/>
              </w:rPr>
              <w:t>(e.g. Syllabus review)</w:t>
            </w:r>
          </w:p>
        </w:tc>
        <w:tc>
          <w:tcPr>
            <w:tcW w:w="3244" w:type="dxa"/>
            <w:vAlign w:val="center"/>
          </w:tcPr>
          <w:p w:rsidR="005D50D0" w:rsidRPr="006236C5" w:rsidRDefault="005D50D0" w:rsidP="00552F21">
            <w:pPr>
              <w:rPr>
                <w:color w:val="000000" w:themeColor="text1"/>
                <w:sz w:val="20"/>
                <w:szCs w:val="20"/>
              </w:rPr>
            </w:pPr>
            <w:r>
              <w:rPr>
                <w:color w:val="000000" w:themeColor="text1"/>
                <w:sz w:val="20"/>
                <w:szCs w:val="20"/>
              </w:rPr>
              <w:t>Collate departmental analyses to meet (or exceed</w:t>
            </w:r>
            <w:r w:rsidR="00FC02B5">
              <w:rPr>
                <w:color w:val="000000" w:themeColor="text1"/>
                <w:sz w:val="20"/>
                <w:szCs w:val="20"/>
              </w:rPr>
              <w:t>)</w:t>
            </w:r>
            <w:r>
              <w:rPr>
                <w:color w:val="000000" w:themeColor="text1"/>
                <w:sz w:val="20"/>
                <w:szCs w:val="20"/>
              </w:rPr>
              <w:t xml:space="preserve"> benchmarks </w:t>
            </w:r>
            <w:r w:rsidR="00FC02B5">
              <w:rPr>
                <w:color w:val="000000" w:themeColor="text1"/>
                <w:sz w:val="20"/>
                <w:szCs w:val="20"/>
              </w:rPr>
              <w:t xml:space="preserve">set by </w:t>
            </w:r>
            <w:r w:rsidR="002E139A">
              <w:rPr>
                <w:sz w:val="20"/>
                <w:szCs w:val="20"/>
              </w:rPr>
              <w:t xml:space="preserve">Faculty Council Executive Committee </w:t>
            </w:r>
            <w:r>
              <w:rPr>
                <w:color w:val="000000" w:themeColor="text1"/>
                <w:sz w:val="20"/>
                <w:szCs w:val="20"/>
              </w:rPr>
              <w:t>for</w:t>
            </w:r>
            <w:r w:rsidRPr="006236C5">
              <w:rPr>
                <w:color w:val="000000" w:themeColor="text1"/>
                <w:sz w:val="20"/>
                <w:szCs w:val="20"/>
              </w:rPr>
              <w:t xml:space="preserve"> university level (i.e., 7 of 8 colleges </w:t>
            </w:r>
            <w:r>
              <w:rPr>
                <w:color w:val="000000" w:themeColor="text1"/>
                <w:sz w:val="20"/>
                <w:szCs w:val="20"/>
              </w:rPr>
              <w:t>have met benchmarks</w:t>
            </w:r>
            <w:r w:rsidRPr="006236C5">
              <w:rPr>
                <w:color w:val="000000" w:themeColor="text1"/>
                <w:sz w:val="20"/>
                <w:szCs w:val="20"/>
              </w:rPr>
              <w:t>)</w:t>
            </w:r>
          </w:p>
        </w:tc>
        <w:tc>
          <w:tcPr>
            <w:tcW w:w="2329" w:type="dxa"/>
            <w:vAlign w:val="center"/>
          </w:tcPr>
          <w:p w:rsidR="005D50D0" w:rsidRDefault="005D50D0" w:rsidP="00552F21">
            <w:pPr>
              <w:rPr>
                <w:sz w:val="20"/>
                <w:szCs w:val="20"/>
              </w:rPr>
            </w:pPr>
            <w:r w:rsidRPr="00223804">
              <w:rPr>
                <w:sz w:val="20"/>
                <w:szCs w:val="20"/>
              </w:rPr>
              <w:t xml:space="preserve">Unit/department </w:t>
            </w:r>
          </w:p>
          <w:p w:rsidR="005D50D0" w:rsidRDefault="005D50D0" w:rsidP="00552F21">
            <w:pPr>
              <w:rPr>
                <w:sz w:val="20"/>
                <w:szCs w:val="20"/>
              </w:rPr>
            </w:pPr>
          </w:p>
          <w:p w:rsidR="005D50D0" w:rsidRDefault="005D50D0" w:rsidP="00552F21">
            <w:pPr>
              <w:rPr>
                <w:sz w:val="20"/>
                <w:szCs w:val="20"/>
              </w:rPr>
            </w:pPr>
            <w:r>
              <w:rPr>
                <w:sz w:val="20"/>
                <w:szCs w:val="20"/>
              </w:rPr>
              <w:t>Office of Teaching Learning and Assessment</w:t>
            </w:r>
          </w:p>
          <w:p w:rsidR="005D50D0" w:rsidRDefault="005D50D0" w:rsidP="00552F21">
            <w:pPr>
              <w:rPr>
                <w:sz w:val="20"/>
                <w:szCs w:val="20"/>
              </w:rPr>
            </w:pPr>
          </w:p>
          <w:p w:rsidR="005D50D0" w:rsidRPr="00223804" w:rsidRDefault="005D50D0" w:rsidP="00552F21">
            <w:pPr>
              <w:rPr>
                <w:sz w:val="20"/>
                <w:szCs w:val="20"/>
              </w:rPr>
            </w:pPr>
          </w:p>
        </w:tc>
        <w:tc>
          <w:tcPr>
            <w:tcW w:w="0" w:type="auto"/>
            <w:vAlign w:val="center"/>
          </w:tcPr>
          <w:p w:rsidR="005D50D0" w:rsidRPr="00551AF8" w:rsidRDefault="005D50D0" w:rsidP="00552F21">
            <w:pPr>
              <w:rPr>
                <w:sz w:val="20"/>
                <w:szCs w:val="20"/>
              </w:rPr>
            </w:pPr>
            <w:r w:rsidRPr="00551AF8">
              <w:rPr>
                <w:sz w:val="20"/>
                <w:szCs w:val="20"/>
              </w:rPr>
              <w:t>Initial- 2016.</w:t>
            </w:r>
          </w:p>
          <w:p w:rsidR="005D50D0" w:rsidRPr="00551AF8" w:rsidRDefault="005D50D0" w:rsidP="00552F21">
            <w:pPr>
              <w:rPr>
                <w:sz w:val="20"/>
                <w:szCs w:val="20"/>
              </w:rPr>
            </w:pPr>
          </w:p>
          <w:p w:rsidR="005D50D0" w:rsidRDefault="005D50D0" w:rsidP="00552F21">
            <w:pPr>
              <w:rPr>
                <w:sz w:val="20"/>
                <w:szCs w:val="20"/>
              </w:rPr>
            </w:pPr>
            <w:r w:rsidRPr="00551AF8">
              <w:rPr>
                <w:sz w:val="20"/>
                <w:szCs w:val="20"/>
              </w:rPr>
              <w:t>Follow up - 2021</w:t>
            </w:r>
          </w:p>
        </w:tc>
      </w:tr>
      <w:tr w:rsidR="005D50D0" w:rsidTr="00DE4AE4">
        <w:trPr>
          <w:cantSplit/>
        </w:trPr>
        <w:tc>
          <w:tcPr>
            <w:tcW w:w="1368" w:type="dxa"/>
            <w:vMerge/>
            <w:vAlign w:val="center"/>
          </w:tcPr>
          <w:p w:rsidR="005D50D0" w:rsidRPr="00D82393" w:rsidRDefault="005D50D0" w:rsidP="00552F21">
            <w:pPr>
              <w:rPr>
                <w:sz w:val="20"/>
                <w:szCs w:val="20"/>
              </w:rPr>
            </w:pPr>
          </w:p>
        </w:tc>
        <w:tc>
          <w:tcPr>
            <w:tcW w:w="2160" w:type="dxa"/>
            <w:vMerge/>
            <w:vAlign w:val="center"/>
          </w:tcPr>
          <w:p w:rsidR="005D50D0" w:rsidRDefault="005D50D0" w:rsidP="00552F21">
            <w:pPr>
              <w:rPr>
                <w:sz w:val="20"/>
                <w:szCs w:val="20"/>
              </w:rPr>
            </w:pPr>
          </w:p>
        </w:tc>
        <w:tc>
          <w:tcPr>
            <w:tcW w:w="3060" w:type="dxa"/>
            <w:vAlign w:val="center"/>
          </w:tcPr>
          <w:p w:rsidR="005D50D0" w:rsidRDefault="002E139A" w:rsidP="00552F21">
            <w:pPr>
              <w:rPr>
                <w:sz w:val="20"/>
                <w:szCs w:val="20"/>
              </w:rPr>
            </w:pPr>
            <w:r>
              <w:rPr>
                <w:sz w:val="20"/>
                <w:szCs w:val="20"/>
              </w:rPr>
              <w:t xml:space="preserve">Faculty Council Executive Committee </w:t>
            </w:r>
            <w:r w:rsidR="005D50D0">
              <w:rPr>
                <w:sz w:val="20"/>
                <w:szCs w:val="20"/>
              </w:rPr>
              <w:t>identifies questions from NSSE and other surveys that ask about characteristics of rigorous academic expectations</w:t>
            </w:r>
          </w:p>
        </w:tc>
        <w:tc>
          <w:tcPr>
            <w:tcW w:w="3244" w:type="dxa"/>
            <w:vAlign w:val="center"/>
          </w:tcPr>
          <w:p w:rsidR="005D50D0" w:rsidRPr="006236C5" w:rsidRDefault="005D50D0" w:rsidP="00552F21">
            <w:pPr>
              <w:rPr>
                <w:color w:val="000000" w:themeColor="text1"/>
                <w:sz w:val="20"/>
                <w:szCs w:val="20"/>
              </w:rPr>
            </w:pPr>
            <w:r w:rsidRPr="006236C5">
              <w:rPr>
                <w:color w:val="000000" w:themeColor="text1"/>
                <w:sz w:val="20"/>
                <w:szCs w:val="20"/>
              </w:rPr>
              <w:t xml:space="preserve">Meet (or exceed) desired department benchmarks determined by </w:t>
            </w:r>
            <w:r w:rsidR="002E139A">
              <w:rPr>
                <w:sz w:val="20"/>
                <w:szCs w:val="20"/>
              </w:rPr>
              <w:t xml:space="preserve">Faculty Council Executive Committee </w:t>
            </w:r>
            <w:r w:rsidRPr="006236C5">
              <w:rPr>
                <w:color w:val="000000" w:themeColor="text1"/>
                <w:sz w:val="20"/>
                <w:szCs w:val="20"/>
              </w:rPr>
              <w:t xml:space="preserve">after Relevant NSSE </w:t>
            </w:r>
          </w:p>
          <w:p w:rsidR="005D50D0" w:rsidRPr="006236C5" w:rsidRDefault="005D50D0" w:rsidP="00552F21">
            <w:pPr>
              <w:rPr>
                <w:color w:val="000000" w:themeColor="text1"/>
                <w:sz w:val="20"/>
                <w:szCs w:val="20"/>
              </w:rPr>
            </w:pPr>
            <w:r w:rsidRPr="006236C5">
              <w:rPr>
                <w:color w:val="000000" w:themeColor="text1"/>
                <w:sz w:val="20"/>
                <w:szCs w:val="20"/>
              </w:rPr>
              <w:t>and FSSE questions identified and initial results reviewed</w:t>
            </w:r>
          </w:p>
        </w:tc>
        <w:tc>
          <w:tcPr>
            <w:tcW w:w="2329" w:type="dxa"/>
            <w:vAlign w:val="center"/>
          </w:tcPr>
          <w:p w:rsidR="005D50D0" w:rsidRPr="00223804" w:rsidRDefault="002E139A" w:rsidP="00552F21">
            <w:pPr>
              <w:rPr>
                <w:sz w:val="20"/>
                <w:szCs w:val="20"/>
              </w:rPr>
            </w:pPr>
            <w:r>
              <w:rPr>
                <w:sz w:val="20"/>
                <w:szCs w:val="20"/>
              </w:rPr>
              <w:t xml:space="preserve">Faculty Council Executive Committee </w:t>
            </w:r>
          </w:p>
        </w:tc>
        <w:tc>
          <w:tcPr>
            <w:tcW w:w="0" w:type="auto"/>
            <w:vAlign w:val="center"/>
          </w:tcPr>
          <w:p w:rsidR="005D50D0" w:rsidRPr="00551AF8" w:rsidRDefault="005D50D0" w:rsidP="00552F21">
            <w:pPr>
              <w:rPr>
                <w:sz w:val="20"/>
                <w:szCs w:val="20"/>
              </w:rPr>
            </w:pPr>
            <w:r w:rsidRPr="00551AF8">
              <w:rPr>
                <w:sz w:val="20"/>
                <w:szCs w:val="20"/>
              </w:rPr>
              <w:t>Initial- 2016.</w:t>
            </w:r>
          </w:p>
          <w:p w:rsidR="005D50D0" w:rsidRPr="00551AF8" w:rsidRDefault="005D50D0" w:rsidP="00552F21">
            <w:pPr>
              <w:rPr>
                <w:sz w:val="20"/>
                <w:szCs w:val="20"/>
              </w:rPr>
            </w:pPr>
          </w:p>
          <w:p w:rsidR="005D50D0" w:rsidRDefault="005D50D0" w:rsidP="00552F21">
            <w:pPr>
              <w:rPr>
                <w:sz w:val="20"/>
                <w:szCs w:val="20"/>
              </w:rPr>
            </w:pPr>
            <w:r w:rsidRPr="00551AF8">
              <w:rPr>
                <w:sz w:val="20"/>
                <w:szCs w:val="20"/>
              </w:rPr>
              <w:t>Follow up - 2021</w:t>
            </w:r>
          </w:p>
        </w:tc>
      </w:tr>
    </w:tbl>
    <w:p w:rsidR="005D50D0" w:rsidRDefault="005D50D0" w:rsidP="005D50D0"/>
    <w:tbl>
      <w:tblPr>
        <w:tblStyle w:val="TableGrid"/>
        <w:tblW w:w="5000" w:type="pct"/>
        <w:tblLook w:val="04A0" w:firstRow="1" w:lastRow="0" w:firstColumn="1" w:lastColumn="0" w:noHBand="0" w:noVBand="1"/>
      </w:tblPr>
      <w:tblGrid>
        <w:gridCol w:w="2446"/>
        <w:gridCol w:w="2901"/>
        <w:gridCol w:w="2269"/>
        <w:gridCol w:w="2121"/>
        <w:gridCol w:w="2245"/>
        <w:gridCol w:w="1194"/>
      </w:tblGrid>
      <w:tr w:rsidR="005D50D0" w:rsidTr="00552F21">
        <w:trPr>
          <w:cantSplit/>
          <w:trHeight w:val="890"/>
        </w:trPr>
        <w:tc>
          <w:tcPr>
            <w:tcW w:w="928" w:type="pct"/>
            <w:vAlign w:val="center"/>
          </w:tcPr>
          <w:p w:rsidR="005D50D0" w:rsidRPr="007328BA" w:rsidRDefault="005D50D0" w:rsidP="00552F21">
            <w:pPr>
              <w:rPr>
                <w:b/>
              </w:rPr>
            </w:pPr>
            <w:r w:rsidRPr="007328BA">
              <w:rPr>
                <w:b/>
              </w:rPr>
              <w:lastRenderedPageBreak/>
              <w:t>Objective</w:t>
            </w:r>
          </w:p>
        </w:tc>
        <w:tc>
          <w:tcPr>
            <w:tcW w:w="1101" w:type="pct"/>
            <w:vAlign w:val="center"/>
          </w:tcPr>
          <w:p w:rsidR="005D50D0" w:rsidRPr="007328BA" w:rsidRDefault="005D50D0" w:rsidP="00552F21">
            <w:pPr>
              <w:rPr>
                <w:b/>
              </w:rPr>
            </w:pPr>
            <w:r w:rsidRPr="007328BA">
              <w:rPr>
                <w:b/>
              </w:rPr>
              <w:t>Desired Outcome</w:t>
            </w:r>
          </w:p>
        </w:tc>
        <w:tc>
          <w:tcPr>
            <w:tcW w:w="861" w:type="pct"/>
            <w:vAlign w:val="center"/>
          </w:tcPr>
          <w:p w:rsidR="005D50D0" w:rsidRPr="007328BA" w:rsidRDefault="005D50D0" w:rsidP="00552F21">
            <w:pPr>
              <w:rPr>
                <w:b/>
              </w:rPr>
            </w:pPr>
            <w:r w:rsidRPr="007328BA">
              <w:rPr>
                <w:b/>
              </w:rPr>
              <w:t>Assessment</w:t>
            </w:r>
          </w:p>
        </w:tc>
        <w:tc>
          <w:tcPr>
            <w:tcW w:w="805" w:type="pct"/>
            <w:vAlign w:val="center"/>
          </w:tcPr>
          <w:p w:rsidR="005D50D0" w:rsidRPr="007328BA" w:rsidRDefault="005D50D0" w:rsidP="00552F21">
            <w:pPr>
              <w:rPr>
                <w:b/>
              </w:rPr>
            </w:pPr>
            <w:r w:rsidRPr="007328BA">
              <w:rPr>
                <w:b/>
              </w:rPr>
              <w:t>Metric</w:t>
            </w:r>
          </w:p>
        </w:tc>
        <w:tc>
          <w:tcPr>
            <w:tcW w:w="852" w:type="pct"/>
            <w:vAlign w:val="center"/>
          </w:tcPr>
          <w:p w:rsidR="005D50D0" w:rsidRPr="007328BA" w:rsidRDefault="005D50D0" w:rsidP="00552F21">
            <w:pPr>
              <w:rPr>
                <w:b/>
              </w:rPr>
            </w:pPr>
            <w:r w:rsidRPr="007328BA">
              <w:rPr>
                <w:b/>
              </w:rPr>
              <w:t>Departments Supporting Objective</w:t>
            </w:r>
          </w:p>
        </w:tc>
        <w:tc>
          <w:tcPr>
            <w:tcW w:w="453" w:type="pct"/>
            <w:vAlign w:val="center"/>
          </w:tcPr>
          <w:p w:rsidR="005D50D0" w:rsidRPr="007328BA" w:rsidRDefault="005D50D0" w:rsidP="00552F21">
            <w:pPr>
              <w:rPr>
                <w:b/>
              </w:rPr>
            </w:pPr>
            <w:r w:rsidRPr="007328BA">
              <w:rPr>
                <w:b/>
              </w:rPr>
              <w:t>Timeline From/To</w:t>
            </w:r>
          </w:p>
        </w:tc>
      </w:tr>
      <w:tr w:rsidR="005D50D0" w:rsidTr="00552F21">
        <w:trPr>
          <w:cantSplit/>
          <w:trHeight w:val="1465"/>
        </w:trPr>
        <w:tc>
          <w:tcPr>
            <w:tcW w:w="928" w:type="pct"/>
            <w:vMerge w:val="restart"/>
            <w:vAlign w:val="center"/>
          </w:tcPr>
          <w:p w:rsidR="005D50D0" w:rsidRPr="00223804" w:rsidRDefault="005D50D0" w:rsidP="00552F21">
            <w:pPr>
              <w:rPr>
                <w:sz w:val="20"/>
                <w:szCs w:val="20"/>
              </w:rPr>
            </w:pPr>
            <w:r>
              <w:rPr>
                <w:sz w:val="20"/>
                <w:szCs w:val="20"/>
              </w:rPr>
              <w:t>3. E</w:t>
            </w:r>
            <w:r w:rsidRPr="00D82393">
              <w:rPr>
                <w:sz w:val="20"/>
                <w:szCs w:val="20"/>
              </w:rPr>
              <w:t xml:space="preserve">xpand the use of high-impact educational practices. </w:t>
            </w:r>
          </w:p>
        </w:tc>
        <w:tc>
          <w:tcPr>
            <w:tcW w:w="1101" w:type="pct"/>
            <w:vMerge w:val="restart"/>
            <w:vAlign w:val="center"/>
          </w:tcPr>
          <w:p w:rsidR="005D50D0" w:rsidRPr="00223804" w:rsidRDefault="005D50D0" w:rsidP="00552F21">
            <w:pPr>
              <w:rPr>
                <w:sz w:val="20"/>
                <w:szCs w:val="20"/>
              </w:rPr>
            </w:pPr>
            <w:r>
              <w:rPr>
                <w:sz w:val="20"/>
                <w:szCs w:val="20"/>
              </w:rPr>
              <w:t>High impact practices are widely used at Widener</w:t>
            </w:r>
          </w:p>
        </w:tc>
        <w:tc>
          <w:tcPr>
            <w:tcW w:w="861" w:type="pct"/>
          </w:tcPr>
          <w:p w:rsidR="005D50D0" w:rsidRPr="00223804" w:rsidRDefault="005D50D0" w:rsidP="00552F21">
            <w:pPr>
              <w:rPr>
                <w:sz w:val="20"/>
                <w:szCs w:val="20"/>
              </w:rPr>
            </w:pPr>
            <w:r>
              <w:rPr>
                <w:sz w:val="20"/>
                <w:szCs w:val="20"/>
              </w:rPr>
              <w:t>Departmental analysis of high impact practices in the curriculum; Identify classes and other opportunities that incorporate each high impact practice</w:t>
            </w:r>
          </w:p>
        </w:tc>
        <w:tc>
          <w:tcPr>
            <w:tcW w:w="805" w:type="pct"/>
          </w:tcPr>
          <w:p w:rsidR="005D50D0" w:rsidRPr="00223804" w:rsidRDefault="005D50D0" w:rsidP="00552F21">
            <w:pPr>
              <w:rPr>
                <w:sz w:val="20"/>
                <w:szCs w:val="20"/>
              </w:rPr>
            </w:pPr>
            <w:r>
              <w:rPr>
                <w:sz w:val="20"/>
                <w:szCs w:val="20"/>
              </w:rPr>
              <w:t>After initial analysis each department will identify changes and targets for expanding high impact practices.</w:t>
            </w:r>
          </w:p>
        </w:tc>
        <w:tc>
          <w:tcPr>
            <w:tcW w:w="852" w:type="pct"/>
          </w:tcPr>
          <w:p w:rsidR="005D50D0" w:rsidRDefault="005D50D0" w:rsidP="00552F21">
            <w:pPr>
              <w:rPr>
                <w:sz w:val="20"/>
                <w:szCs w:val="20"/>
              </w:rPr>
            </w:pPr>
            <w:r w:rsidRPr="00223804">
              <w:rPr>
                <w:sz w:val="20"/>
                <w:szCs w:val="20"/>
              </w:rPr>
              <w:t>Unit/department</w:t>
            </w:r>
          </w:p>
          <w:p w:rsidR="005D50D0" w:rsidRDefault="005D50D0" w:rsidP="00552F21">
            <w:pPr>
              <w:rPr>
                <w:sz w:val="20"/>
                <w:szCs w:val="20"/>
              </w:rPr>
            </w:pPr>
          </w:p>
          <w:p w:rsidR="005D50D0" w:rsidRPr="00D81404" w:rsidRDefault="005D50D0" w:rsidP="00552F21">
            <w:pPr>
              <w:rPr>
                <w:b/>
                <w:color w:val="FF0000"/>
                <w:sz w:val="20"/>
                <w:szCs w:val="20"/>
              </w:rPr>
            </w:pPr>
            <w:r>
              <w:rPr>
                <w:sz w:val="20"/>
                <w:szCs w:val="20"/>
              </w:rPr>
              <w:t xml:space="preserve">Office of Experiential Learning and Global </w:t>
            </w:r>
          </w:p>
          <w:p w:rsidR="005D50D0" w:rsidRPr="00A05708" w:rsidRDefault="005D50D0" w:rsidP="00552F21">
            <w:pPr>
              <w:rPr>
                <w:color w:val="000000" w:themeColor="text1"/>
                <w:sz w:val="20"/>
                <w:szCs w:val="20"/>
              </w:rPr>
            </w:pPr>
            <w:r w:rsidRPr="00A05708">
              <w:rPr>
                <w:color w:val="000000" w:themeColor="text1"/>
                <w:sz w:val="20"/>
                <w:szCs w:val="20"/>
              </w:rPr>
              <w:t>Office of Civic Engagement</w:t>
            </w:r>
          </w:p>
        </w:tc>
        <w:tc>
          <w:tcPr>
            <w:tcW w:w="453" w:type="pct"/>
          </w:tcPr>
          <w:p w:rsidR="005D50D0" w:rsidRPr="000A7C81" w:rsidRDefault="005D50D0" w:rsidP="00552F21">
            <w:pPr>
              <w:rPr>
                <w:color w:val="000000" w:themeColor="text1"/>
                <w:sz w:val="20"/>
                <w:szCs w:val="20"/>
              </w:rPr>
            </w:pPr>
            <w:r w:rsidRPr="000A7C81">
              <w:rPr>
                <w:color w:val="000000" w:themeColor="text1"/>
                <w:sz w:val="20"/>
                <w:szCs w:val="20"/>
              </w:rPr>
              <w:t>Initial FA015.</w:t>
            </w:r>
          </w:p>
          <w:p w:rsidR="005D50D0" w:rsidRPr="000A7C81" w:rsidRDefault="005D50D0" w:rsidP="00552F21">
            <w:pPr>
              <w:rPr>
                <w:color w:val="000000" w:themeColor="text1"/>
                <w:sz w:val="20"/>
                <w:szCs w:val="20"/>
              </w:rPr>
            </w:pPr>
          </w:p>
          <w:p w:rsidR="005D50D0" w:rsidRPr="000A7C81" w:rsidRDefault="005D50D0" w:rsidP="00552F21">
            <w:pPr>
              <w:rPr>
                <w:color w:val="000000" w:themeColor="text1"/>
                <w:sz w:val="20"/>
                <w:szCs w:val="20"/>
              </w:rPr>
            </w:pPr>
            <w:r w:rsidRPr="000A7C81">
              <w:rPr>
                <w:color w:val="000000" w:themeColor="text1"/>
                <w:sz w:val="20"/>
                <w:szCs w:val="20"/>
              </w:rPr>
              <w:t>Follow up spring 18.</w:t>
            </w:r>
          </w:p>
        </w:tc>
      </w:tr>
      <w:tr w:rsidR="005D50D0" w:rsidTr="00552F21">
        <w:trPr>
          <w:cantSplit/>
        </w:trPr>
        <w:tc>
          <w:tcPr>
            <w:tcW w:w="928" w:type="pct"/>
            <w:vMerge/>
            <w:vAlign w:val="center"/>
          </w:tcPr>
          <w:p w:rsidR="005D50D0" w:rsidRPr="00D82393" w:rsidRDefault="005D50D0" w:rsidP="00552F21">
            <w:pPr>
              <w:rPr>
                <w:sz w:val="20"/>
                <w:szCs w:val="20"/>
              </w:rPr>
            </w:pPr>
          </w:p>
        </w:tc>
        <w:tc>
          <w:tcPr>
            <w:tcW w:w="1101" w:type="pct"/>
            <w:vMerge/>
            <w:vAlign w:val="center"/>
          </w:tcPr>
          <w:p w:rsidR="005D50D0" w:rsidRDefault="005D50D0" w:rsidP="00552F21">
            <w:pPr>
              <w:rPr>
                <w:sz w:val="20"/>
                <w:szCs w:val="20"/>
              </w:rPr>
            </w:pPr>
          </w:p>
        </w:tc>
        <w:tc>
          <w:tcPr>
            <w:tcW w:w="861" w:type="pct"/>
            <w:vAlign w:val="center"/>
          </w:tcPr>
          <w:p w:rsidR="005D50D0" w:rsidRDefault="002E139A" w:rsidP="00552F21">
            <w:pPr>
              <w:rPr>
                <w:sz w:val="20"/>
                <w:szCs w:val="20"/>
              </w:rPr>
            </w:pPr>
            <w:r>
              <w:rPr>
                <w:sz w:val="20"/>
                <w:szCs w:val="20"/>
              </w:rPr>
              <w:t xml:space="preserve">Faculty Council Executive Committee </w:t>
            </w:r>
            <w:r w:rsidR="005D50D0">
              <w:rPr>
                <w:sz w:val="20"/>
                <w:szCs w:val="20"/>
              </w:rPr>
              <w:t>identifies questions from NSSE and other surveys that ask about high impact practices</w:t>
            </w:r>
          </w:p>
        </w:tc>
        <w:tc>
          <w:tcPr>
            <w:tcW w:w="805" w:type="pct"/>
            <w:vAlign w:val="center"/>
          </w:tcPr>
          <w:p w:rsidR="005D50D0" w:rsidRPr="00223804" w:rsidRDefault="005D50D0" w:rsidP="00552F21">
            <w:pPr>
              <w:rPr>
                <w:sz w:val="20"/>
                <w:szCs w:val="20"/>
              </w:rPr>
            </w:pPr>
            <w:r>
              <w:rPr>
                <w:sz w:val="20"/>
                <w:szCs w:val="20"/>
              </w:rPr>
              <w:t xml:space="preserve">Desired increase to be determined by </w:t>
            </w:r>
            <w:r w:rsidR="002E139A">
              <w:rPr>
                <w:sz w:val="20"/>
                <w:szCs w:val="20"/>
              </w:rPr>
              <w:t xml:space="preserve">Faculty Council Executive Committee </w:t>
            </w:r>
            <w:r>
              <w:rPr>
                <w:sz w:val="20"/>
                <w:szCs w:val="20"/>
              </w:rPr>
              <w:t xml:space="preserve">after </w:t>
            </w:r>
            <w:r w:rsidRPr="00223804">
              <w:rPr>
                <w:sz w:val="20"/>
                <w:szCs w:val="20"/>
              </w:rPr>
              <w:t xml:space="preserve">Relevant NSSE </w:t>
            </w:r>
          </w:p>
          <w:p w:rsidR="005D50D0" w:rsidRDefault="005D50D0" w:rsidP="00552F21">
            <w:pPr>
              <w:rPr>
                <w:sz w:val="20"/>
                <w:szCs w:val="20"/>
              </w:rPr>
            </w:pPr>
            <w:r>
              <w:rPr>
                <w:sz w:val="20"/>
                <w:szCs w:val="20"/>
              </w:rPr>
              <w:t>and</w:t>
            </w:r>
            <w:r w:rsidRPr="00223804">
              <w:rPr>
                <w:sz w:val="20"/>
                <w:szCs w:val="20"/>
              </w:rPr>
              <w:t xml:space="preserve"> FSSE questions</w:t>
            </w:r>
            <w:r>
              <w:rPr>
                <w:sz w:val="20"/>
                <w:szCs w:val="20"/>
              </w:rPr>
              <w:t xml:space="preserve"> identified and initial results reviewed</w:t>
            </w:r>
          </w:p>
        </w:tc>
        <w:tc>
          <w:tcPr>
            <w:tcW w:w="852" w:type="pct"/>
            <w:vAlign w:val="center"/>
          </w:tcPr>
          <w:p w:rsidR="005D50D0" w:rsidRPr="00223804" w:rsidRDefault="002E139A" w:rsidP="00552F21">
            <w:pPr>
              <w:rPr>
                <w:sz w:val="20"/>
                <w:szCs w:val="20"/>
              </w:rPr>
            </w:pPr>
            <w:r>
              <w:rPr>
                <w:sz w:val="20"/>
                <w:szCs w:val="20"/>
              </w:rPr>
              <w:t xml:space="preserve">Faculty Council Executive Committee </w:t>
            </w:r>
          </w:p>
        </w:tc>
        <w:tc>
          <w:tcPr>
            <w:tcW w:w="453" w:type="pct"/>
            <w:vAlign w:val="center"/>
          </w:tcPr>
          <w:p w:rsidR="005D50D0" w:rsidRPr="000A7C81" w:rsidRDefault="005D50D0" w:rsidP="00552F21">
            <w:pPr>
              <w:rPr>
                <w:color w:val="000000" w:themeColor="text1"/>
                <w:sz w:val="20"/>
                <w:szCs w:val="20"/>
              </w:rPr>
            </w:pPr>
            <w:r w:rsidRPr="000A7C81">
              <w:rPr>
                <w:color w:val="000000" w:themeColor="text1"/>
                <w:sz w:val="20"/>
                <w:szCs w:val="20"/>
              </w:rPr>
              <w:t>Initial FA015.</w:t>
            </w:r>
          </w:p>
          <w:p w:rsidR="005D50D0" w:rsidRPr="000A7C81" w:rsidRDefault="005D50D0" w:rsidP="00552F21">
            <w:pPr>
              <w:rPr>
                <w:color w:val="000000" w:themeColor="text1"/>
                <w:sz w:val="20"/>
                <w:szCs w:val="20"/>
              </w:rPr>
            </w:pPr>
          </w:p>
          <w:p w:rsidR="005D50D0" w:rsidRPr="000A7C81" w:rsidRDefault="005D50D0" w:rsidP="00552F21">
            <w:pPr>
              <w:rPr>
                <w:color w:val="000000" w:themeColor="text1"/>
                <w:sz w:val="20"/>
                <w:szCs w:val="20"/>
              </w:rPr>
            </w:pPr>
            <w:r w:rsidRPr="000A7C81">
              <w:rPr>
                <w:color w:val="000000" w:themeColor="text1"/>
                <w:sz w:val="20"/>
                <w:szCs w:val="20"/>
              </w:rPr>
              <w:t>Follow up spring 18.</w:t>
            </w:r>
          </w:p>
        </w:tc>
      </w:tr>
    </w:tbl>
    <w:p w:rsidR="005D50D0" w:rsidRDefault="005D50D0" w:rsidP="005D50D0">
      <w:r>
        <w:br w:type="page"/>
      </w:r>
    </w:p>
    <w:tbl>
      <w:tblPr>
        <w:tblStyle w:val="TableGrid"/>
        <w:tblW w:w="0" w:type="auto"/>
        <w:tblLook w:val="04A0" w:firstRow="1" w:lastRow="0" w:firstColumn="1" w:lastColumn="0" w:noHBand="0" w:noVBand="1"/>
      </w:tblPr>
      <w:tblGrid>
        <w:gridCol w:w="1908"/>
        <w:gridCol w:w="2610"/>
        <w:gridCol w:w="3154"/>
        <w:gridCol w:w="2201"/>
        <w:gridCol w:w="2288"/>
        <w:gridCol w:w="1015"/>
      </w:tblGrid>
      <w:tr w:rsidR="005D50D0" w:rsidTr="00DE4AE4">
        <w:trPr>
          <w:cantSplit/>
          <w:trHeight w:val="710"/>
        </w:trPr>
        <w:tc>
          <w:tcPr>
            <w:tcW w:w="1908" w:type="dxa"/>
            <w:vAlign w:val="center"/>
          </w:tcPr>
          <w:p w:rsidR="005D50D0" w:rsidRPr="007328BA" w:rsidRDefault="005D50D0" w:rsidP="00552F21">
            <w:pPr>
              <w:rPr>
                <w:b/>
              </w:rPr>
            </w:pPr>
            <w:r w:rsidRPr="007328BA">
              <w:rPr>
                <w:b/>
              </w:rPr>
              <w:lastRenderedPageBreak/>
              <w:t>Objective</w:t>
            </w:r>
          </w:p>
        </w:tc>
        <w:tc>
          <w:tcPr>
            <w:tcW w:w="2610" w:type="dxa"/>
            <w:vAlign w:val="center"/>
          </w:tcPr>
          <w:p w:rsidR="005D50D0" w:rsidRPr="007328BA" w:rsidRDefault="005D50D0" w:rsidP="00552F21">
            <w:pPr>
              <w:rPr>
                <w:b/>
              </w:rPr>
            </w:pPr>
            <w:r w:rsidRPr="007328BA">
              <w:rPr>
                <w:b/>
              </w:rPr>
              <w:t>Desired Outcome</w:t>
            </w:r>
          </w:p>
        </w:tc>
        <w:tc>
          <w:tcPr>
            <w:tcW w:w="3154" w:type="dxa"/>
            <w:vAlign w:val="center"/>
          </w:tcPr>
          <w:p w:rsidR="005D50D0" w:rsidRPr="007328BA" w:rsidRDefault="005D50D0" w:rsidP="00552F21">
            <w:pPr>
              <w:rPr>
                <w:b/>
              </w:rPr>
            </w:pPr>
            <w:r w:rsidRPr="007328BA">
              <w:rPr>
                <w:b/>
              </w:rPr>
              <w:t>Assessment</w:t>
            </w:r>
          </w:p>
        </w:tc>
        <w:tc>
          <w:tcPr>
            <w:tcW w:w="2201" w:type="dxa"/>
            <w:vAlign w:val="center"/>
          </w:tcPr>
          <w:p w:rsidR="005D50D0" w:rsidRPr="007328BA" w:rsidRDefault="005D50D0" w:rsidP="00552F21">
            <w:pPr>
              <w:rPr>
                <w:b/>
              </w:rPr>
            </w:pPr>
            <w:r w:rsidRPr="007328BA">
              <w:rPr>
                <w:b/>
              </w:rPr>
              <w:t>Metric</w:t>
            </w:r>
          </w:p>
        </w:tc>
        <w:tc>
          <w:tcPr>
            <w:tcW w:w="2288" w:type="dxa"/>
            <w:vAlign w:val="center"/>
          </w:tcPr>
          <w:p w:rsidR="005D50D0" w:rsidRPr="007328BA" w:rsidRDefault="005D50D0" w:rsidP="00552F21">
            <w:pPr>
              <w:rPr>
                <w:b/>
              </w:rPr>
            </w:pPr>
            <w:r w:rsidRPr="007328BA">
              <w:rPr>
                <w:b/>
              </w:rPr>
              <w:t>Departments Supporting Objective</w:t>
            </w:r>
          </w:p>
        </w:tc>
        <w:tc>
          <w:tcPr>
            <w:tcW w:w="0" w:type="auto"/>
            <w:vAlign w:val="center"/>
          </w:tcPr>
          <w:p w:rsidR="005D50D0" w:rsidRPr="007328BA" w:rsidRDefault="005D50D0" w:rsidP="00552F21">
            <w:pPr>
              <w:rPr>
                <w:b/>
              </w:rPr>
            </w:pPr>
            <w:r w:rsidRPr="007328BA">
              <w:rPr>
                <w:b/>
              </w:rPr>
              <w:t>Timeline From/To</w:t>
            </w:r>
          </w:p>
        </w:tc>
      </w:tr>
      <w:tr w:rsidR="005D50D0" w:rsidTr="00DE4AE4">
        <w:trPr>
          <w:cantSplit/>
          <w:trHeight w:val="1465"/>
        </w:trPr>
        <w:tc>
          <w:tcPr>
            <w:tcW w:w="1908" w:type="dxa"/>
            <w:vMerge w:val="restart"/>
            <w:vAlign w:val="center"/>
          </w:tcPr>
          <w:p w:rsidR="005D50D0" w:rsidRPr="00223804" w:rsidRDefault="005D50D0" w:rsidP="00552F21">
            <w:pPr>
              <w:rPr>
                <w:sz w:val="20"/>
                <w:szCs w:val="20"/>
              </w:rPr>
            </w:pPr>
            <w:r>
              <w:rPr>
                <w:sz w:val="20"/>
                <w:szCs w:val="20"/>
              </w:rPr>
              <w:t>4. I</w:t>
            </w:r>
            <w:r w:rsidRPr="00D82393">
              <w:rPr>
                <w:sz w:val="20"/>
                <w:szCs w:val="20"/>
              </w:rPr>
              <w:t>mprove high-impact educational practices and student learning outcomes.</w:t>
            </w:r>
          </w:p>
        </w:tc>
        <w:tc>
          <w:tcPr>
            <w:tcW w:w="2610" w:type="dxa"/>
            <w:vMerge w:val="restart"/>
            <w:vAlign w:val="center"/>
          </w:tcPr>
          <w:p w:rsidR="005D50D0" w:rsidRDefault="005D50D0" w:rsidP="00552F21">
            <w:pPr>
              <w:rPr>
                <w:sz w:val="20"/>
                <w:szCs w:val="20"/>
              </w:rPr>
            </w:pPr>
            <w:r>
              <w:rPr>
                <w:sz w:val="20"/>
                <w:szCs w:val="20"/>
              </w:rPr>
              <w:t>More effective implementation of high impact practices</w:t>
            </w:r>
          </w:p>
          <w:p w:rsidR="005D50D0" w:rsidRPr="00223804" w:rsidRDefault="005D50D0" w:rsidP="00552F21">
            <w:pPr>
              <w:rPr>
                <w:sz w:val="20"/>
                <w:szCs w:val="20"/>
              </w:rPr>
            </w:pPr>
          </w:p>
        </w:tc>
        <w:tc>
          <w:tcPr>
            <w:tcW w:w="3154" w:type="dxa"/>
            <w:vAlign w:val="center"/>
          </w:tcPr>
          <w:p w:rsidR="005D50D0" w:rsidRPr="00223804" w:rsidRDefault="005D50D0" w:rsidP="00552F21">
            <w:pPr>
              <w:rPr>
                <w:sz w:val="20"/>
                <w:szCs w:val="20"/>
              </w:rPr>
            </w:pPr>
            <w:r>
              <w:rPr>
                <w:sz w:val="20"/>
                <w:szCs w:val="20"/>
              </w:rPr>
              <w:t>Departmental/Program analysis of high impact practices in the curriculum; Review characteristics of high impact practices; Identify ways to improve implementation of high impact practices</w:t>
            </w:r>
          </w:p>
        </w:tc>
        <w:tc>
          <w:tcPr>
            <w:tcW w:w="2201" w:type="dxa"/>
            <w:vAlign w:val="center"/>
          </w:tcPr>
          <w:p w:rsidR="005D50D0" w:rsidRPr="00223804" w:rsidRDefault="005D50D0" w:rsidP="00FC02B5">
            <w:pPr>
              <w:rPr>
                <w:sz w:val="20"/>
                <w:szCs w:val="20"/>
              </w:rPr>
            </w:pPr>
            <w:r>
              <w:rPr>
                <w:sz w:val="20"/>
                <w:szCs w:val="20"/>
              </w:rPr>
              <w:t xml:space="preserve">After initial analysis each department and program will identify changes and targets for </w:t>
            </w:r>
            <w:r w:rsidR="00FC02B5">
              <w:rPr>
                <w:sz w:val="20"/>
                <w:szCs w:val="20"/>
              </w:rPr>
              <w:t xml:space="preserve">improving </w:t>
            </w:r>
            <w:r>
              <w:rPr>
                <w:sz w:val="20"/>
                <w:szCs w:val="20"/>
              </w:rPr>
              <w:t xml:space="preserve"> high impact practices.</w:t>
            </w:r>
          </w:p>
        </w:tc>
        <w:tc>
          <w:tcPr>
            <w:tcW w:w="2288" w:type="dxa"/>
            <w:vAlign w:val="center"/>
          </w:tcPr>
          <w:p w:rsidR="005D50D0" w:rsidRPr="00223804" w:rsidRDefault="005D50D0" w:rsidP="00552F21">
            <w:pPr>
              <w:rPr>
                <w:sz w:val="20"/>
                <w:szCs w:val="20"/>
              </w:rPr>
            </w:pPr>
            <w:r w:rsidRPr="00223804">
              <w:rPr>
                <w:sz w:val="20"/>
                <w:szCs w:val="20"/>
              </w:rPr>
              <w:t>Unit/department</w:t>
            </w:r>
          </w:p>
          <w:p w:rsidR="005D50D0" w:rsidRPr="00223804" w:rsidRDefault="005D50D0" w:rsidP="00552F21">
            <w:pPr>
              <w:rPr>
                <w:sz w:val="20"/>
                <w:szCs w:val="20"/>
              </w:rPr>
            </w:pPr>
          </w:p>
        </w:tc>
        <w:tc>
          <w:tcPr>
            <w:tcW w:w="0" w:type="auto"/>
            <w:vAlign w:val="center"/>
          </w:tcPr>
          <w:p w:rsidR="005D50D0" w:rsidRPr="000A7C81" w:rsidRDefault="005D50D0" w:rsidP="00552F21">
            <w:pPr>
              <w:rPr>
                <w:color w:val="000000" w:themeColor="text1"/>
                <w:sz w:val="20"/>
                <w:szCs w:val="20"/>
              </w:rPr>
            </w:pPr>
            <w:r w:rsidRPr="000A7C81">
              <w:rPr>
                <w:color w:val="000000" w:themeColor="text1"/>
                <w:sz w:val="20"/>
                <w:szCs w:val="20"/>
              </w:rPr>
              <w:t>FY 2016 to</w:t>
            </w:r>
          </w:p>
          <w:p w:rsidR="005D50D0" w:rsidRPr="000A7C81" w:rsidRDefault="005D50D0" w:rsidP="00552F21">
            <w:pPr>
              <w:rPr>
                <w:color w:val="000000" w:themeColor="text1"/>
                <w:sz w:val="20"/>
                <w:szCs w:val="20"/>
              </w:rPr>
            </w:pPr>
            <w:r w:rsidRPr="000A7C81">
              <w:rPr>
                <w:color w:val="000000" w:themeColor="text1"/>
                <w:sz w:val="20"/>
                <w:szCs w:val="20"/>
              </w:rPr>
              <w:t>2021</w:t>
            </w:r>
          </w:p>
        </w:tc>
      </w:tr>
      <w:tr w:rsidR="005D50D0" w:rsidTr="00DE4AE4">
        <w:trPr>
          <w:cantSplit/>
          <w:trHeight w:val="1465"/>
        </w:trPr>
        <w:tc>
          <w:tcPr>
            <w:tcW w:w="1908" w:type="dxa"/>
            <w:vMerge/>
            <w:vAlign w:val="center"/>
          </w:tcPr>
          <w:p w:rsidR="005D50D0" w:rsidRDefault="005D50D0" w:rsidP="00552F21">
            <w:pPr>
              <w:rPr>
                <w:sz w:val="20"/>
                <w:szCs w:val="20"/>
              </w:rPr>
            </w:pPr>
          </w:p>
        </w:tc>
        <w:tc>
          <w:tcPr>
            <w:tcW w:w="2610" w:type="dxa"/>
            <w:vMerge/>
            <w:vAlign w:val="center"/>
          </w:tcPr>
          <w:p w:rsidR="005D50D0" w:rsidRDefault="005D50D0" w:rsidP="00552F21">
            <w:pPr>
              <w:rPr>
                <w:sz w:val="20"/>
                <w:szCs w:val="20"/>
              </w:rPr>
            </w:pPr>
          </w:p>
        </w:tc>
        <w:tc>
          <w:tcPr>
            <w:tcW w:w="3154" w:type="dxa"/>
            <w:vAlign w:val="center"/>
          </w:tcPr>
          <w:p w:rsidR="005D50D0" w:rsidRDefault="005D50D0" w:rsidP="00552F21">
            <w:pPr>
              <w:rPr>
                <w:sz w:val="20"/>
                <w:szCs w:val="20"/>
              </w:rPr>
            </w:pPr>
            <w:r>
              <w:rPr>
                <w:sz w:val="20"/>
                <w:szCs w:val="20"/>
              </w:rPr>
              <w:t xml:space="preserve">Department and program assessment reports reviewed by </w:t>
            </w:r>
            <w:r w:rsidR="002E139A">
              <w:rPr>
                <w:sz w:val="20"/>
                <w:szCs w:val="20"/>
              </w:rPr>
              <w:t>Faculty Council Executive Committee</w:t>
            </w:r>
          </w:p>
        </w:tc>
        <w:tc>
          <w:tcPr>
            <w:tcW w:w="2201" w:type="dxa"/>
            <w:vAlign w:val="center"/>
          </w:tcPr>
          <w:p w:rsidR="005D50D0" w:rsidRDefault="002E139A" w:rsidP="00552F21">
            <w:pPr>
              <w:rPr>
                <w:sz w:val="20"/>
                <w:szCs w:val="20"/>
              </w:rPr>
            </w:pPr>
            <w:r>
              <w:rPr>
                <w:sz w:val="20"/>
                <w:szCs w:val="20"/>
              </w:rPr>
              <w:t xml:space="preserve">Faculty Council Executive Committee </w:t>
            </w:r>
            <w:r w:rsidR="005D50D0">
              <w:rPr>
                <w:sz w:val="20"/>
                <w:szCs w:val="20"/>
              </w:rPr>
              <w:t>reports out on effective implementation of high impact practices and makes recommendations</w:t>
            </w:r>
          </w:p>
        </w:tc>
        <w:tc>
          <w:tcPr>
            <w:tcW w:w="2288" w:type="dxa"/>
            <w:vAlign w:val="center"/>
          </w:tcPr>
          <w:p w:rsidR="005D50D0" w:rsidRDefault="002E139A" w:rsidP="00552F21">
            <w:pPr>
              <w:rPr>
                <w:sz w:val="20"/>
                <w:szCs w:val="20"/>
              </w:rPr>
            </w:pPr>
            <w:r>
              <w:rPr>
                <w:sz w:val="20"/>
                <w:szCs w:val="20"/>
              </w:rPr>
              <w:t xml:space="preserve">Faculty Council Executive Committee </w:t>
            </w:r>
          </w:p>
          <w:p w:rsidR="002E139A" w:rsidRDefault="002E139A" w:rsidP="00552F21">
            <w:pPr>
              <w:rPr>
                <w:sz w:val="20"/>
                <w:szCs w:val="20"/>
              </w:rPr>
            </w:pPr>
          </w:p>
          <w:p w:rsidR="005D50D0" w:rsidRDefault="005D50D0" w:rsidP="00552F21">
            <w:pPr>
              <w:rPr>
                <w:sz w:val="20"/>
                <w:szCs w:val="20"/>
              </w:rPr>
            </w:pPr>
            <w:r>
              <w:rPr>
                <w:sz w:val="20"/>
                <w:szCs w:val="20"/>
              </w:rPr>
              <w:t>Office of Teaching Learning and Assessment</w:t>
            </w:r>
          </w:p>
          <w:p w:rsidR="005D50D0" w:rsidRPr="00223804" w:rsidRDefault="005D50D0" w:rsidP="00552F21">
            <w:pPr>
              <w:rPr>
                <w:sz w:val="20"/>
                <w:szCs w:val="20"/>
              </w:rPr>
            </w:pPr>
          </w:p>
        </w:tc>
        <w:tc>
          <w:tcPr>
            <w:tcW w:w="0" w:type="auto"/>
            <w:vAlign w:val="center"/>
          </w:tcPr>
          <w:p w:rsidR="005D50D0" w:rsidRPr="000A7C81" w:rsidRDefault="005D50D0" w:rsidP="00552F21">
            <w:pPr>
              <w:rPr>
                <w:color w:val="000000" w:themeColor="text1"/>
                <w:sz w:val="20"/>
                <w:szCs w:val="20"/>
              </w:rPr>
            </w:pPr>
            <w:r w:rsidRPr="000A7C81">
              <w:rPr>
                <w:color w:val="000000" w:themeColor="text1"/>
                <w:sz w:val="20"/>
                <w:szCs w:val="20"/>
              </w:rPr>
              <w:t>FY 2017 to 2021</w:t>
            </w:r>
          </w:p>
        </w:tc>
      </w:tr>
      <w:tr w:rsidR="005D50D0" w:rsidTr="00DE4AE4">
        <w:trPr>
          <w:cantSplit/>
        </w:trPr>
        <w:tc>
          <w:tcPr>
            <w:tcW w:w="1908" w:type="dxa"/>
            <w:vMerge/>
            <w:vAlign w:val="center"/>
          </w:tcPr>
          <w:p w:rsidR="005D50D0" w:rsidRDefault="005D50D0" w:rsidP="00552F21">
            <w:pPr>
              <w:rPr>
                <w:sz w:val="20"/>
                <w:szCs w:val="20"/>
              </w:rPr>
            </w:pPr>
          </w:p>
        </w:tc>
        <w:tc>
          <w:tcPr>
            <w:tcW w:w="2610" w:type="dxa"/>
            <w:vAlign w:val="center"/>
          </w:tcPr>
          <w:p w:rsidR="005D50D0" w:rsidRDefault="005D50D0" w:rsidP="00552F21">
            <w:pPr>
              <w:rPr>
                <w:sz w:val="20"/>
                <w:szCs w:val="20"/>
              </w:rPr>
            </w:pPr>
            <w:r>
              <w:rPr>
                <w:sz w:val="20"/>
                <w:szCs w:val="20"/>
              </w:rPr>
              <w:t>Improved student outcomes</w:t>
            </w:r>
            <w:r w:rsidRPr="00223804">
              <w:rPr>
                <w:sz w:val="20"/>
                <w:szCs w:val="20"/>
              </w:rPr>
              <w:t xml:space="preserve"> </w:t>
            </w:r>
            <w:r>
              <w:rPr>
                <w:sz w:val="20"/>
                <w:szCs w:val="20"/>
              </w:rPr>
              <w:t xml:space="preserve"> </w:t>
            </w:r>
          </w:p>
        </w:tc>
        <w:tc>
          <w:tcPr>
            <w:tcW w:w="3154" w:type="dxa"/>
            <w:vAlign w:val="center"/>
          </w:tcPr>
          <w:p w:rsidR="005D50D0" w:rsidRDefault="005D50D0" w:rsidP="00552F21">
            <w:pPr>
              <w:rPr>
                <w:sz w:val="20"/>
                <w:szCs w:val="20"/>
              </w:rPr>
            </w:pPr>
            <w:r>
              <w:rPr>
                <w:sz w:val="20"/>
                <w:szCs w:val="20"/>
              </w:rPr>
              <w:t>Assessment reports for Institutional Learning Objectives</w:t>
            </w:r>
          </w:p>
          <w:p w:rsidR="005D50D0" w:rsidRDefault="005D50D0" w:rsidP="00552F21">
            <w:pPr>
              <w:rPr>
                <w:sz w:val="20"/>
                <w:szCs w:val="20"/>
              </w:rPr>
            </w:pPr>
          </w:p>
          <w:p w:rsidR="005D50D0" w:rsidRDefault="005D50D0" w:rsidP="00552F21">
            <w:pPr>
              <w:rPr>
                <w:sz w:val="20"/>
                <w:szCs w:val="20"/>
              </w:rPr>
            </w:pPr>
            <w:r>
              <w:rPr>
                <w:sz w:val="20"/>
                <w:szCs w:val="20"/>
              </w:rPr>
              <w:t>Assessment reports for general education goals.</w:t>
            </w:r>
          </w:p>
          <w:p w:rsidR="005D50D0" w:rsidRDefault="005D50D0" w:rsidP="00552F21">
            <w:pPr>
              <w:rPr>
                <w:sz w:val="20"/>
                <w:szCs w:val="20"/>
              </w:rPr>
            </w:pPr>
          </w:p>
          <w:p w:rsidR="005D50D0" w:rsidRDefault="005D50D0" w:rsidP="00552F21">
            <w:pPr>
              <w:rPr>
                <w:sz w:val="20"/>
                <w:szCs w:val="20"/>
              </w:rPr>
            </w:pPr>
            <w:r>
              <w:rPr>
                <w:sz w:val="20"/>
                <w:szCs w:val="20"/>
              </w:rPr>
              <w:t>Retention rates</w:t>
            </w:r>
          </w:p>
          <w:p w:rsidR="005D50D0" w:rsidRDefault="005D50D0" w:rsidP="00552F21">
            <w:pPr>
              <w:rPr>
                <w:sz w:val="20"/>
                <w:szCs w:val="20"/>
              </w:rPr>
            </w:pPr>
          </w:p>
          <w:p w:rsidR="005D50D0" w:rsidRDefault="005D50D0" w:rsidP="00552F21">
            <w:pPr>
              <w:rPr>
                <w:sz w:val="20"/>
                <w:szCs w:val="20"/>
              </w:rPr>
            </w:pPr>
            <w:r>
              <w:rPr>
                <w:sz w:val="20"/>
                <w:szCs w:val="20"/>
              </w:rPr>
              <w:t>Graduation rates</w:t>
            </w:r>
          </w:p>
          <w:p w:rsidR="005D50D0" w:rsidRDefault="005D50D0" w:rsidP="00552F21">
            <w:pPr>
              <w:rPr>
                <w:sz w:val="20"/>
                <w:szCs w:val="20"/>
              </w:rPr>
            </w:pPr>
          </w:p>
          <w:p w:rsidR="005D50D0" w:rsidRDefault="005D50D0" w:rsidP="00552F21">
            <w:pPr>
              <w:rPr>
                <w:sz w:val="20"/>
                <w:szCs w:val="20"/>
              </w:rPr>
            </w:pPr>
            <w:r>
              <w:rPr>
                <w:sz w:val="20"/>
                <w:szCs w:val="20"/>
              </w:rPr>
              <w:t>Post graduation placement rates</w:t>
            </w:r>
          </w:p>
        </w:tc>
        <w:tc>
          <w:tcPr>
            <w:tcW w:w="2201" w:type="dxa"/>
            <w:vAlign w:val="center"/>
          </w:tcPr>
          <w:p w:rsidR="005D50D0" w:rsidRDefault="005D50D0" w:rsidP="00552F21">
            <w:pPr>
              <w:rPr>
                <w:sz w:val="20"/>
                <w:szCs w:val="20"/>
              </w:rPr>
            </w:pPr>
            <w:r>
              <w:rPr>
                <w:sz w:val="20"/>
                <w:szCs w:val="20"/>
              </w:rPr>
              <w:t xml:space="preserve">Desired increase to be determined by </w:t>
            </w:r>
            <w:r w:rsidR="002E139A">
              <w:rPr>
                <w:sz w:val="20"/>
                <w:szCs w:val="20"/>
              </w:rPr>
              <w:t xml:space="preserve">Faculty Council Executive Committee </w:t>
            </w:r>
            <w:r>
              <w:rPr>
                <w:sz w:val="20"/>
                <w:szCs w:val="20"/>
              </w:rPr>
              <w:t>after reviewing assessment reports.</w:t>
            </w:r>
          </w:p>
        </w:tc>
        <w:tc>
          <w:tcPr>
            <w:tcW w:w="2288" w:type="dxa"/>
            <w:vAlign w:val="center"/>
          </w:tcPr>
          <w:p w:rsidR="005D50D0" w:rsidRPr="00223804" w:rsidRDefault="002E139A" w:rsidP="00552F21">
            <w:pPr>
              <w:rPr>
                <w:sz w:val="20"/>
                <w:szCs w:val="20"/>
              </w:rPr>
            </w:pPr>
            <w:r>
              <w:rPr>
                <w:sz w:val="20"/>
                <w:szCs w:val="20"/>
              </w:rPr>
              <w:t xml:space="preserve">Faculty Council Executive Committee </w:t>
            </w:r>
          </w:p>
        </w:tc>
        <w:tc>
          <w:tcPr>
            <w:tcW w:w="0" w:type="auto"/>
            <w:vAlign w:val="center"/>
          </w:tcPr>
          <w:p w:rsidR="005D50D0" w:rsidRPr="000A7C81" w:rsidRDefault="005D50D0" w:rsidP="00552F21">
            <w:pPr>
              <w:rPr>
                <w:color w:val="000000" w:themeColor="text1"/>
                <w:sz w:val="20"/>
                <w:szCs w:val="20"/>
              </w:rPr>
            </w:pPr>
            <w:r w:rsidRPr="000A7C81">
              <w:rPr>
                <w:color w:val="000000" w:themeColor="text1"/>
                <w:sz w:val="20"/>
                <w:szCs w:val="20"/>
              </w:rPr>
              <w:t>FY 2016 to</w:t>
            </w:r>
          </w:p>
          <w:p w:rsidR="005D50D0" w:rsidRPr="000A7C81" w:rsidRDefault="005D50D0" w:rsidP="00552F21">
            <w:pPr>
              <w:rPr>
                <w:color w:val="000000" w:themeColor="text1"/>
                <w:sz w:val="20"/>
                <w:szCs w:val="20"/>
              </w:rPr>
            </w:pPr>
            <w:r w:rsidRPr="000A7C81">
              <w:rPr>
                <w:color w:val="000000" w:themeColor="text1"/>
                <w:sz w:val="20"/>
                <w:szCs w:val="20"/>
              </w:rPr>
              <w:t>2021</w:t>
            </w:r>
          </w:p>
          <w:p w:rsidR="005D50D0" w:rsidRPr="000A7C81" w:rsidRDefault="005D50D0" w:rsidP="00552F21">
            <w:pPr>
              <w:rPr>
                <w:color w:val="000000" w:themeColor="text1"/>
                <w:sz w:val="20"/>
                <w:szCs w:val="20"/>
              </w:rPr>
            </w:pPr>
          </w:p>
        </w:tc>
      </w:tr>
      <w:tr w:rsidR="005D50D0" w:rsidTr="00DE4AE4">
        <w:trPr>
          <w:cantSplit/>
        </w:trPr>
        <w:tc>
          <w:tcPr>
            <w:tcW w:w="1908" w:type="dxa"/>
            <w:vMerge/>
            <w:vAlign w:val="center"/>
          </w:tcPr>
          <w:p w:rsidR="005D50D0" w:rsidRDefault="005D50D0" w:rsidP="00552F21">
            <w:pPr>
              <w:rPr>
                <w:sz w:val="20"/>
                <w:szCs w:val="20"/>
              </w:rPr>
            </w:pPr>
          </w:p>
        </w:tc>
        <w:tc>
          <w:tcPr>
            <w:tcW w:w="2610" w:type="dxa"/>
            <w:vAlign w:val="center"/>
          </w:tcPr>
          <w:p w:rsidR="005D50D0" w:rsidRDefault="005D50D0" w:rsidP="00552F21">
            <w:pPr>
              <w:rPr>
                <w:sz w:val="20"/>
                <w:szCs w:val="20"/>
              </w:rPr>
            </w:pPr>
            <w:r>
              <w:rPr>
                <w:sz w:val="20"/>
                <w:szCs w:val="20"/>
              </w:rPr>
              <w:t>Increased student engagement in high-impact educational practices</w:t>
            </w:r>
          </w:p>
        </w:tc>
        <w:tc>
          <w:tcPr>
            <w:tcW w:w="3154" w:type="dxa"/>
            <w:vAlign w:val="center"/>
          </w:tcPr>
          <w:p w:rsidR="005D50D0" w:rsidRDefault="002E139A" w:rsidP="00552F21">
            <w:pPr>
              <w:rPr>
                <w:sz w:val="20"/>
                <w:szCs w:val="20"/>
              </w:rPr>
            </w:pPr>
            <w:r>
              <w:rPr>
                <w:sz w:val="20"/>
                <w:szCs w:val="20"/>
              </w:rPr>
              <w:t xml:space="preserve">Faculty Council Executive Committee </w:t>
            </w:r>
            <w:r w:rsidR="005D50D0">
              <w:rPr>
                <w:sz w:val="20"/>
                <w:szCs w:val="20"/>
              </w:rPr>
              <w:t>identifies questions from NSSE and other surveys that ask about high impact practices</w:t>
            </w:r>
          </w:p>
        </w:tc>
        <w:tc>
          <w:tcPr>
            <w:tcW w:w="2201" w:type="dxa"/>
            <w:vAlign w:val="center"/>
          </w:tcPr>
          <w:p w:rsidR="005D50D0" w:rsidRPr="00223804" w:rsidRDefault="005D50D0" w:rsidP="00552F21">
            <w:pPr>
              <w:rPr>
                <w:sz w:val="20"/>
                <w:szCs w:val="20"/>
              </w:rPr>
            </w:pPr>
            <w:r>
              <w:rPr>
                <w:sz w:val="20"/>
                <w:szCs w:val="20"/>
              </w:rPr>
              <w:t xml:space="preserve">Desired increase to be determined by </w:t>
            </w:r>
            <w:r w:rsidR="002E139A">
              <w:rPr>
                <w:sz w:val="20"/>
                <w:szCs w:val="20"/>
              </w:rPr>
              <w:t xml:space="preserve">Faculty Council Executive Committee </w:t>
            </w:r>
            <w:r>
              <w:rPr>
                <w:sz w:val="20"/>
                <w:szCs w:val="20"/>
              </w:rPr>
              <w:t xml:space="preserve">after </w:t>
            </w:r>
            <w:r w:rsidRPr="00223804">
              <w:rPr>
                <w:sz w:val="20"/>
                <w:szCs w:val="20"/>
              </w:rPr>
              <w:t xml:space="preserve">Relevant NSSE </w:t>
            </w:r>
          </w:p>
          <w:p w:rsidR="005D50D0" w:rsidRDefault="005D50D0" w:rsidP="00552F21">
            <w:pPr>
              <w:rPr>
                <w:sz w:val="20"/>
                <w:szCs w:val="20"/>
              </w:rPr>
            </w:pPr>
            <w:r>
              <w:rPr>
                <w:sz w:val="20"/>
                <w:szCs w:val="20"/>
              </w:rPr>
              <w:t>and</w:t>
            </w:r>
            <w:r w:rsidRPr="00223804">
              <w:rPr>
                <w:sz w:val="20"/>
                <w:szCs w:val="20"/>
              </w:rPr>
              <w:t xml:space="preserve"> FSSE questions</w:t>
            </w:r>
            <w:r>
              <w:rPr>
                <w:sz w:val="20"/>
                <w:szCs w:val="20"/>
              </w:rPr>
              <w:t xml:space="preserve"> identified and initial results reviewed</w:t>
            </w:r>
          </w:p>
        </w:tc>
        <w:tc>
          <w:tcPr>
            <w:tcW w:w="2288" w:type="dxa"/>
            <w:vAlign w:val="center"/>
          </w:tcPr>
          <w:p w:rsidR="005D50D0" w:rsidRPr="00223804" w:rsidRDefault="002E139A" w:rsidP="00552F21">
            <w:pPr>
              <w:rPr>
                <w:sz w:val="20"/>
                <w:szCs w:val="20"/>
              </w:rPr>
            </w:pPr>
            <w:r>
              <w:rPr>
                <w:sz w:val="20"/>
                <w:szCs w:val="20"/>
              </w:rPr>
              <w:t xml:space="preserve">Faculty Council Executive Committee </w:t>
            </w:r>
          </w:p>
        </w:tc>
        <w:tc>
          <w:tcPr>
            <w:tcW w:w="0" w:type="auto"/>
            <w:vAlign w:val="center"/>
          </w:tcPr>
          <w:p w:rsidR="005D50D0" w:rsidRPr="000A7C81" w:rsidRDefault="005D50D0" w:rsidP="00552F21">
            <w:pPr>
              <w:rPr>
                <w:color w:val="000000" w:themeColor="text1"/>
                <w:sz w:val="20"/>
                <w:szCs w:val="20"/>
              </w:rPr>
            </w:pPr>
            <w:r w:rsidRPr="000A7C81">
              <w:rPr>
                <w:color w:val="000000" w:themeColor="text1"/>
                <w:sz w:val="20"/>
                <w:szCs w:val="20"/>
              </w:rPr>
              <w:t>Initial fall 2015.</w:t>
            </w:r>
          </w:p>
          <w:p w:rsidR="005D50D0" w:rsidRPr="000A7C81" w:rsidRDefault="005D50D0" w:rsidP="00552F21">
            <w:pPr>
              <w:rPr>
                <w:color w:val="000000" w:themeColor="text1"/>
                <w:sz w:val="20"/>
                <w:szCs w:val="20"/>
              </w:rPr>
            </w:pPr>
          </w:p>
          <w:p w:rsidR="005D50D0" w:rsidRPr="000A7C81" w:rsidRDefault="005D50D0" w:rsidP="00552F21">
            <w:pPr>
              <w:rPr>
                <w:color w:val="000000" w:themeColor="text1"/>
                <w:sz w:val="20"/>
                <w:szCs w:val="20"/>
              </w:rPr>
            </w:pPr>
            <w:r w:rsidRPr="000A7C81">
              <w:rPr>
                <w:color w:val="000000" w:themeColor="text1"/>
                <w:sz w:val="20"/>
                <w:szCs w:val="20"/>
              </w:rPr>
              <w:t>Follow up spring 18.</w:t>
            </w:r>
          </w:p>
        </w:tc>
      </w:tr>
      <w:tr w:rsidR="005D50D0" w:rsidTr="00DE4AE4">
        <w:trPr>
          <w:cantSplit/>
        </w:trPr>
        <w:tc>
          <w:tcPr>
            <w:tcW w:w="1908" w:type="dxa"/>
            <w:vMerge w:val="restart"/>
            <w:vAlign w:val="center"/>
          </w:tcPr>
          <w:p w:rsidR="005D50D0" w:rsidRPr="00835C19" w:rsidRDefault="005D50D0" w:rsidP="00552F21">
            <w:pPr>
              <w:rPr>
                <w:sz w:val="20"/>
                <w:szCs w:val="20"/>
              </w:rPr>
            </w:pPr>
            <w:r>
              <w:rPr>
                <w:sz w:val="20"/>
                <w:szCs w:val="20"/>
              </w:rPr>
              <w:lastRenderedPageBreak/>
              <w:t>5.</w:t>
            </w:r>
            <w:r w:rsidRPr="00835C19">
              <w:rPr>
                <w:sz w:val="20"/>
                <w:szCs w:val="20"/>
              </w:rPr>
              <w:t xml:space="preserve"> Promote a university culture where academic </w:t>
            </w:r>
            <w:r w:rsidRPr="000A7C81">
              <w:rPr>
                <w:sz w:val="20"/>
                <w:szCs w:val="20"/>
              </w:rPr>
              <w:t>expectations and high-impact educational practices are developed, supported and rewarded.</w:t>
            </w:r>
          </w:p>
        </w:tc>
        <w:tc>
          <w:tcPr>
            <w:tcW w:w="2610" w:type="dxa"/>
            <w:vAlign w:val="center"/>
          </w:tcPr>
          <w:p w:rsidR="005D50D0" w:rsidRPr="00223804" w:rsidRDefault="005D50D0" w:rsidP="00552F21">
            <w:pPr>
              <w:rPr>
                <w:sz w:val="20"/>
                <w:szCs w:val="20"/>
              </w:rPr>
            </w:pPr>
            <w:r>
              <w:rPr>
                <w:sz w:val="20"/>
                <w:szCs w:val="20"/>
              </w:rPr>
              <w:t>Annual and ongoing</w:t>
            </w:r>
            <w:r w:rsidRPr="00223804">
              <w:rPr>
                <w:sz w:val="20"/>
                <w:szCs w:val="20"/>
              </w:rPr>
              <w:t xml:space="preserve"> faculty </w:t>
            </w:r>
            <w:r>
              <w:rPr>
                <w:sz w:val="20"/>
                <w:szCs w:val="20"/>
              </w:rPr>
              <w:t xml:space="preserve">and staff </w:t>
            </w:r>
            <w:r w:rsidRPr="00223804">
              <w:rPr>
                <w:sz w:val="20"/>
                <w:szCs w:val="20"/>
              </w:rPr>
              <w:t>development on rigorous academic expectations and high impact practices</w:t>
            </w:r>
          </w:p>
        </w:tc>
        <w:tc>
          <w:tcPr>
            <w:tcW w:w="3154" w:type="dxa"/>
            <w:vAlign w:val="center"/>
          </w:tcPr>
          <w:p w:rsidR="005D50D0" w:rsidRDefault="005D50D0" w:rsidP="00552F21">
            <w:pPr>
              <w:rPr>
                <w:sz w:val="20"/>
                <w:szCs w:val="20"/>
              </w:rPr>
            </w:pPr>
            <w:r>
              <w:rPr>
                <w:sz w:val="20"/>
                <w:szCs w:val="20"/>
              </w:rPr>
              <w:t>Number of faculty participating in annual Assessment Days across schools and colleges</w:t>
            </w:r>
          </w:p>
          <w:p w:rsidR="005D50D0" w:rsidRDefault="005D50D0" w:rsidP="00552F21">
            <w:pPr>
              <w:rPr>
                <w:sz w:val="20"/>
                <w:szCs w:val="20"/>
              </w:rPr>
            </w:pPr>
          </w:p>
          <w:p w:rsidR="005D50D0" w:rsidRDefault="005D50D0" w:rsidP="00552F21">
            <w:pPr>
              <w:rPr>
                <w:sz w:val="20"/>
                <w:szCs w:val="20"/>
              </w:rPr>
            </w:pPr>
            <w:r>
              <w:rPr>
                <w:sz w:val="20"/>
                <w:szCs w:val="20"/>
              </w:rPr>
              <w:t>Number of faculty participating in initiatives</w:t>
            </w:r>
          </w:p>
          <w:p w:rsidR="005D50D0" w:rsidRDefault="005D50D0" w:rsidP="00552F21">
            <w:pPr>
              <w:rPr>
                <w:sz w:val="20"/>
                <w:szCs w:val="20"/>
              </w:rPr>
            </w:pPr>
          </w:p>
          <w:p w:rsidR="005D50D0" w:rsidRDefault="005D50D0" w:rsidP="00552F21">
            <w:pPr>
              <w:rPr>
                <w:sz w:val="20"/>
                <w:szCs w:val="20"/>
              </w:rPr>
            </w:pPr>
            <w:r>
              <w:rPr>
                <w:sz w:val="20"/>
                <w:szCs w:val="20"/>
              </w:rPr>
              <w:t>Number of sessions at bridgeweek and other professional development opportunities</w:t>
            </w:r>
          </w:p>
          <w:p w:rsidR="005D50D0" w:rsidRDefault="005D50D0" w:rsidP="00552F21">
            <w:pPr>
              <w:rPr>
                <w:sz w:val="20"/>
                <w:szCs w:val="20"/>
              </w:rPr>
            </w:pPr>
          </w:p>
          <w:p w:rsidR="005D50D0" w:rsidRPr="00223804" w:rsidRDefault="005D50D0" w:rsidP="00552F21">
            <w:pPr>
              <w:rPr>
                <w:sz w:val="20"/>
                <w:szCs w:val="20"/>
              </w:rPr>
            </w:pPr>
            <w:r>
              <w:rPr>
                <w:sz w:val="20"/>
                <w:szCs w:val="20"/>
              </w:rPr>
              <w:t>Number of faculty making use of pedagogical fellows and technology fellows</w:t>
            </w:r>
          </w:p>
        </w:tc>
        <w:tc>
          <w:tcPr>
            <w:tcW w:w="2201" w:type="dxa"/>
            <w:vAlign w:val="center"/>
          </w:tcPr>
          <w:p w:rsidR="005D50D0" w:rsidRPr="00223804" w:rsidRDefault="005D50D0" w:rsidP="00552F21">
            <w:pPr>
              <w:rPr>
                <w:sz w:val="20"/>
                <w:szCs w:val="20"/>
              </w:rPr>
            </w:pPr>
            <w:r>
              <w:rPr>
                <w:sz w:val="20"/>
                <w:szCs w:val="20"/>
              </w:rPr>
              <w:t>Relevant groups will decide targets</w:t>
            </w:r>
          </w:p>
        </w:tc>
        <w:tc>
          <w:tcPr>
            <w:tcW w:w="2288" w:type="dxa"/>
            <w:vAlign w:val="center"/>
          </w:tcPr>
          <w:p w:rsidR="002E139A" w:rsidRDefault="002E139A" w:rsidP="00552F21">
            <w:pPr>
              <w:rPr>
                <w:sz w:val="20"/>
                <w:szCs w:val="20"/>
              </w:rPr>
            </w:pPr>
            <w:r>
              <w:rPr>
                <w:sz w:val="20"/>
                <w:szCs w:val="20"/>
              </w:rPr>
              <w:t xml:space="preserve">Faculty Council Executive Committee </w:t>
            </w:r>
          </w:p>
          <w:p w:rsidR="002E139A" w:rsidRDefault="002E139A" w:rsidP="00552F21">
            <w:pPr>
              <w:rPr>
                <w:sz w:val="20"/>
                <w:szCs w:val="20"/>
              </w:rPr>
            </w:pPr>
          </w:p>
          <w:p w:rsidR="005D50D0" w:rsidRDefault="005D50D0" w:rsidP="00552F21">
            <w:pPr>
              <w:rPr>
                <w:sz w:val="20"/>
                <w:szCs w:val="20"/>
              </w:rPr>
            </w:pPr>
            <w:r w:rsidRPr="00223804">
              <w:rPr>
                <w:sz w:val="20"/>
                <w:szCs w:val="20"/>
              </w:rPr>
              <w:t>Office of Pedagogical support</w:t>
            </w:r>
          </w:p>
          <w:p w:rsidR="002E139A" w:rsidRDefault="002E139A" w:rsidP="00552F21">
            <w:pPr>
              <w:rPr>
                <w:sz w:val="20"/>
                <w:szCs w:val="20"/>
              </w:rPr>
            </w:pPr>
          </w:p>
          <w:p w:rsidR="005D50D0" w:rsidRPr="00223804" w:rsidRDefault="005D50D0" w:rsidP="00552F21">
            <w:pPr>
              <w:rPr>
                <w:sz w:val="20"/>
                <w:szCs w:val="20"/>
              </w:rPr>
            </w:pPr>
            <w:r>
              <w:rPr>
                <w:sz w:val="20"/>
                <w:szCs w:val="20"/>
              </w:rPr>
              <w:t>Office of Teaching, Learning, and Assessme</w:t>
            </w:r>
            <w:bookmarkStart w:id="0" w:name="_GoBack"/>
            <w:bookmarkEnd w:id="0"/>
            <w:r>
              <w:rPr>
                <w:sz w:val="20"/>
                <w:szCs w:val="20"/>
              </w:rPr>
              <w:t>nt</w:t>
            </w:r>
          </w:p>
        </w:tc>
        <w:tc>
          <w:tcPr>
            <w:tcW w:w="0" w:type="auto"/>
            <w:vAlign w:val="center"/>
          </w:tcPr>
          <w:p w:rsidR="005D50D0" w:rsidRPr="00223804" w:rsidRDefault="005D50D0" w:rsidP="00552F21">
            <w:pPr>
              <w:rPr>
                <w:sz w:val="20"/>
                <w:szCs w:val="20"/>
              </w:rPr>
            </w:pPr>
            <w:r>
              <w:rPr>
                <w:sz w:val="20"/>
                <w:szCs w:val="20"/>
              </w:rPr>
              <w:t>2016-2021</w:t>
            </w:r>
          </w:p>
        </w:tc>
      </w:tr>
      <w:tr w:rsidR="005D50D0" w:rsidTr="00DE4AE4">
        <w:trPr>
          <w:cantSplit/>
        </w:trPr>
        <w:tc>
          <w:tcPr>
            <w:tcW w:w="1908" w:type="dxa"/>
            <w:vMerge/>
            <w:vAlign w:val="center"/>
          </w:tcPr>
          <w:p w:rsidR="005D50D0" w:rsidRPr="00D82393" w:rsidRDefault="005D50D0" w:rsidP="00552F21">
            <w:pPr>
              <w:rPr>
                <w:sz w:val="20"/>
                <w:szCs w:val="20"/>
              </w:rPr>
            </w:pPr>
          </w:p>
        </w:tc>
        <w:tc>
          <w:tcPr>
            <w:tcW w:w="2610" w:type="dxa"/>
            <w:vAlign w:val="center"/>
          </w:tcPr>
          <w:p w:rsidR="005D50D0" w:rsidRPr="00223804" w:rsidRDefault="005D50D0" w:rsidP="00552F21">
            <w:pPr>
              <w:rPr>
                <w:sz w:val="20"/>
                <w:szCs w:val="20"/>
              </w:rPr>
            </w:pPr>
            <w:r w:rsidRPr="00223804">
              <w:rPr>
                <w:sz w:val="20"/>
                <w:szCs w:val="20"/>
              </w:rPr>
              <w:t>Provost initiatives to fund rigorous academics and HIP</w:t>
            </w:r>
          </w:p>
        </w:tc>
        <w:tc>
          <w:tcPr>
            <w:tcW w:w="3154" w:type="dxa"/>
            <w:vAlign w:val="center"/>
          </w:tcPr>
          <w:p w:rsidR="005D50D0" w:rsidRDefault="005D50D0" w:rsidP="00552F21">
            <w:pPr>
              <w:rPr>
                <w:sz w:val="20"/>
                <w:szCs w:val="20"/>
              </w:rPr>
            </w:pPr>
            <w:r>
              <w:rPr>
                <w:sz w:val="20"/>
                <w:szCs w:val="20"/>
              </w:rPr>
              <w:t>Increased funding for professional development opportunities</w:t>
            </w:r>
          </w:p>
        </w:tc>
        <w:tc>
          <w:tcPr>
            <w:tcW w:w="2201" w:type="dxa"/>
            <w:vAlign w:val="center"/>
          </w:tcPr>
          <w:p w:rsidR="005D50D0" w:rsidRDefault="005D50D0" w:rsidP="00552F21">
            <w:pPr>
              <w:rPr>
                <w:sz w:val="20"/>
                <w:szCs w:val="20"/>
              </w:rPr>
            </w:pPr>
            <w:r w:rsidRPr="00E64E56">
              <w:rPr>
                <w:sz w:val="20"/>
                <w:szCs w:val="20"/>
              </w:rPr>
              <w:t>Relevant groups will decide targets</w:t>
            </w:r>
          </w:p>
        </w:tc>
        <w:tc>
          <w:tcPr>
            <w:tcW w:w="2288" w:type="dxa"/>
            <w:vAlign w:val="center"/>
          </w:tcPr>
          <w:p w:rsidR="005D50D0" w:rsidRPr="00223804" w:rsidRDefault="005D50D0" w:rsidP="00552F21">
            <w:pPr>
              <w:rPr>
                <w:sz w:val="20"/>
                <w:szCs w:val="20"/>
              </w:rPr>
            </w:pPr>
            <w:r w:rsidRPr="00E64E56">
              <w:rPr>
                <w:sz w:val="20"/>
                <w:szCs w:val="20"/>
              </w:rPr>
              <w:t>Provost</w:t>
            </w:r>
          </w:p>
        </w:tc>
        <w:tc>
          <w:tcPr>
            <w:tcW w:w="0" w:type="auto"/>
            <w:vAlign w:val="center"/>
          </w:tcPr>
          <w:p w:rsidR="005D50D0" w:rsidRDefault="005D50D0" w:rsidP="00552F21">
            <w:pPr>
              <w:rPr>
                <w:sz w:val="20"/>
                <w:szCs w:val="20"/>
              </w:rPr>
            </w:pPr>
            <w:r>
              <w:rPr>
                <w:sz w:val="20"/>
                <w:szCs w:val="20"/>
              </w:rPr>
              <w:t>2016-2021</w:t>
            </w:r>
          </w:p>
        </w:tc>
      </w:tr>
      <w:tr w:rsidR="005D50D0" w:rsidTr="00DE4AE4">
        <w:trPr>
          <w:cantSplit/>
        </w:trPr>
        <w:tc>
          <w:tcPr>
            <w:tcW w:w="1908" w:type="dxa"/>
            <w:vMerge/>
            <w:vAlign w:val="center"/>
          </w:tcPr>
          <w:p w:rsidR="005D50D0" w:rsidRPr="00D82393" w:rsidRDefault="005D50D0" w:rsidP="00552F21">
            <w:pPr>
              <w:rPr>
                <w:sz w:val="20"/>
                <w:szCs w:val="20"/>
              </w:rPr>
            </w:pPr>
          </w:p>
        </w:tc>
        <w:tc>
          <w:tcPr>
            <w:tcW w:w="2610" w:type="dxa"/>
            <w:vAlign w:val="center"/>
          </w:tcPr>
          <w:p w:rsidR="005D50D0" w:rsidRPr="00223804" w:rsidRDefault="005D50D0" w:rsidP="00552F21">
            <w:pPr>
              <w:rPr>
                <w:sz w:val="20"/>
                <w:szCs w:val="20"/>
              </w:rPr>
            </w:pPr>
            <w:r>
              <w:rPr>
                <w:sz w:val="20"/>
                <w:szCs w:val="20"/>
              </w:rPr>
              <w:t xml:space="preserve">Use of and improved implementation of high impact practices </w:t>
            </w:r>
            <w:r w:rsidRPr="00223804">
              <w:rPr>
                <w:sz w:val="20"/>
                <w:szCs w:val="20"/>
              </w:rPr>
              <w:t>and rigorous academic expectations rewarded as part of merit system.</w:t>
            </w:r>
          </w:p>
        </w:tc>
        <w:tc>
          <w:tcPr>
            <w:tcW w:w="3154" w:type="dxa"/>
            <w:vAlign w:val="center"/>
          </w:tcPr>
          <w:p w:rsidR="005D50D0" w:rsidRDefault="005D50D0" w:rsidP="00552F21">
            <w:pPr>
              <w:rPr>
                <w:sz w:val="20"/>
                <w:szCs w:val="20"/>
              </w:rPr>
            </w:pPr>
            <w:r>
              <w:rPr>
                <w:sz w:val="20"/>
                <w:szCs w:val="20"/>
              </w:rPr>
              <w:t>Merit documents</w:t>
            </w:r>
          </w:p>
          <w:p w:rsidR="005D50D0" w:rsidRDefault="005D50D0" w:rsidP="00552F21">
            <w:pPr>
              <w:rPr>
                <w:sz w:val="20"/>
                <w:szCs w:val="20"/>
              </w:rPr>
            </w:pPr>
          </w:p>
        </w:tc>
        <w:tc>
          <w:tcPr>
            <w:tcW w:w="2201" w:type="dxa"/>
            <w:vAlign w:val="center"/>
          </w:tcPr>
          <w:p w:rsidR="005D50D0" w:rsidRDefault="005D50D0" w:rsidP="00552F21">
            <w:pPr>
              <w:rPr>
                <w:sz w:val="20"/>
                <w:szCs w:val="20"/>
              </w:rPr>
            </w:pPr>
            <w:r>
              <w:rPr>
                <w:sz w:val="20"/>
                <w:szCs w:val="20"/>
              </w:rPr>
              <w:t>All merit documents will address high impact practices and rigorous academic criteria selected in first objective</w:t>
            </w:r>
          </w:p>
        </w:tc>
        <w:tc>
          <w:tcPr>
            <w:tcW w:w="2288" w:type="dxa"/>
            <w:vAlign w:val="center"/>
          </w:tcPr>
          <w:p w:rsidR="005D50D0" w:rsidRPr="00223804" w:rsidRDefault="005D50D0" w:rsidP="00552F21">
            <w:pPr>
              <w:rPr>
                <w:sz w:val="20"/>
                <w:szCs w:val="20"/>
              </w:rPr>
            </w:pPr>
            <w:r>
              <w:rPr>
                <w:sz w:val="20"/>
                <w:szCs w:val="20"/>
              </w:rPr>
              <w:t>Deans</w:t>
            </w:r>
          </w:p>
        </w:tc>
        <w:tc>
          <w:tcPr>
            <w:tcW w:w="0" w:type="auto"/>
            <w:vAlign w:val="center"/>
          </w:tcPr>
          <w:p w:rsidR="005D50D0" w:rsidRDefault="005D50D0" w:rsidP="00552F21">
            <w:pPr>
              <w:rPr>
                <w:sz w:val="20"/>
                <w:szCs w:val="20"/>
              </w:rPr>
            </w:pPr>
            <w:r>
              <w:rPr>
                <w:sz w:val="20"/>
                <w:szCs w:val="20"/>
              </w:rPr>
              <w:t>2016-2021</w:t>
            </w:r>
          </w:p>
        </w:tc>
      </w:tr>
      <w:tr w:rsidR="005D50D0" w:rsidTr="00DE4AE4">
        <w:trPr>
          <w:cantSplit/>
        </w:trPr>
        <w:tc>
          <w:tcPr>
            <w:tcW w:w="1908" w:type="dxa"/>
            <w:vMerge/>
            <w:vAlign w:val="center"/>
          </w:tcPr>
          <w:p w:rsidR="005D50D0" w:rsidRPr="00D82393" w:rsidRDefault="005D50D0" w:rsidP="00552F21">
            <w:pPr>
              <w:rPr>
                <w:sz w:val="20"/>
                <w:szCs w:val="20"/>
              </w:rPr>
            </w:pPr>
          </w:p>
        </w:tc>
        <w:tc>
          <w:tcPr>
            <w:tcW w:w="2610" w:type="dxa"/>
            <w:vAlign w:val="center"/>
          </w:tcPr>
          <w:p w:rsidR="005D50D0" w:rsidRPr="00223804" w:rsidRDefault="005D50D0" w:rsidP="00552F21">
            <w:pPr>
              <w:rPr>
                <w:sz w:val="20"/>
                <w:szCs w:val="20"/>
              </w:rPr>
            </w:pPr>
            <w:r>
              <w:rPr>
                <w:sz w:val="20"/>
                <w:szCs w:val="20"/>
              </w:rPr>
              <w:t>Use of HIP and rigorous academics part of criteria for teaching awards and other incentives</w:t>
            </w:r>
          </w:p>
        </w:tc>
        <w:tc>
          <w:tcPr>
            <w:tcW w:w="3154" w:type="dxa"/>
            <w:vAlign w:val="center"/>
          </w:tcPr>
          <w:p w:rsidR="005D50D0" w:rsidRDefault="005D50D0" w:rsidP="00552F21">
            <w:pPr>
              <w:rPr>
                <w:sz w:val="20"/>
                <w:szCs w:val="20"/>
              </w:rPr>
            </w:pPr>
            <w:r>
              <w:rPr>
                <w:sz w:val="20"/>
                <w:szCs w:val="20"/>
              </w:rPr>
              <w:t>Review of criteria for teaching awards</w:t>
            </w:r>
          </w:p>
        </w:tc>
        <w:tc>
          <w:tcPr>
            <w:tcW w:w="2201" w:type="dxa"/>
            <w:vAlign w:val="center"/>
          </w:tcPr>
          <w:p w:rsidR="005D50D0" w:rsidRDefault="00FC02B5" w:rsidP="00FC02B5">
            <w:pPr>
              <w:rPr>
                <w:sz w:val="20"/>
                <w:szCs w:val="20"/>
              </w:rPr>
            </w:pPr>
            <w:r>
              <w:rPr>
                <w:sz w:val="20"/>
                <w:szCs w:val="20"/>
              </w:rPr>
              <w:t>If appropriate, teaching awards include the use of HIPs and rigorous academics.</w:t>
            </w:r>
          </w:p>
        </w:tc>
        <w:tc>
          <w:tcPr>
            <w:tcW w:w="2288" w:type="dxa"/>
            <w:vAlign w:val="center"/>
          </w:tcPr>
          <w:p w:rsidR="005D50D0" w:rsidRDefault="005D50D0" w:rsidP="00552F21">
            <w:pPr>
              <w:rPr>
                <w:sz w:val="20"/>
                <w:szCs w:val="20"/>
              </w:rPr>
            </w:pPr>
            <w:r>
              <w:rPr>
                <w:sz w:val="20"/>
                <w:szCs w:val="20"/>
              </w:rPr>
              <w:t>Provost</w:t>
            </w:r>
          </w:p>
          <w:p w:rsidR="005D50D0" w:rsidRPr="00223804" w:rsidRDefault="005D50D0" w:rsidP="00552F21">
            <w:pPr>
              <w:rPr>
                <w:sz w:val="20"/>
                <w:szCs w:val="20"/>
              </w:rPr>
            </w:pPr>
            <w:r>
              <w:rPr>
                <w:sz w:val="20"/>
                <w:szCs w:val="20"/>
              </w:rPr>
              <w:t>Deans</w:t>
            </w:r>
          </w:p>
        </w:tc>
        <w:tc>
          <w:tcPr>
            <w:tcW w:w="0" w:type="auto"/>
            <w:vAlign w:val="center"/>
          </w:tcPr>
          <w:p w:rsidR="005D50D0" w:rsidRDefault="005D50D0" w:rsidP="00552F21">
            <w:pPr>
              <w:rPr>
                <w:sz w:val="20"/>
                <w:szCs w:val="20"/>
              </w:rPr>
            </w:pPr>
            <w:r>
              <w:rPr>
                <w:sz w:val="20"/>
                <w:szCs w:val="20"/>
              </w:rPr>
              <w:t>2016-2021</w:t>
            </w:r>
          </w:p>
        </w:tc>
      </w:tr>
      <w:tr w:rsidR="005D50D0" w:rsidTr="00DE4AE4">
        <w:trPr>
          <w:cantSplit/>
        </w:trPr>
        <w:tc>
          <w:tcPr>
            <w:tcW w:w="1908" w:type="dxa"/>
            <w:vMerge/>
            <w:vAlign w:val="center"/>
          </w:tcPr>
          <w:p w:rsidR="005D50D0" w:rsidRPr="00D82393" w:rsidRDefault="005D50D0" w:rsidP="00552F21">
            <w:pPr>
              <w:rPr>
                <w:sz w:val="20"/>
                <w:szCs w:val="20"/>
              </w:rPr>
            </w:pPr>
          </w:p>
        </w:tc>
        <w:tc>
          <w:tcPr>
            <w:tcW w:w="2610" w:type="dxa"/>
            <w:vAlign w:val="center"/>
          </w:tcPr>
          <w:p w:rsidR="005D50D0" w:rsidRDefault="005D50D0" w:rsidP="00552F21">
            <w:pPr>
              <w:rPr>
                <w:sz w:val="20"/>
                <w:szCs w:val="20"/>
              </w:rPr>
            </w:pPr>
            <w:r>
              <w:rPr>
                <w:sz w:val="20"/>
                <w:szCs w:val="20"/>
              </w:rPr>
              <w:t>Co-curricular programming supports and promotes high-impact educational practices</w:t>
            </w:r>
          </w:p>
        </w:tc>
        <w:tc>
          <w:tcPr>
            <w:tcW w:w="3154" w:type="dxa"/>
            <w:vAlign w:val="center"/>
          </w:tcPr>
          <w:p w:rsidR="00FC02B5" w:rsidRDefault="00FC02B5" w:rsidP="00552F21">
            <w:pPr>
              <w:rPr>
                <w:sz w:val="20"/>
                <w:szCs w:val="20"/>
              </w:rPr>
            </w:pPr>
            <w:r>
              <w:rPr>
                <w:sz w:val="20"/>
                <w:szCs w:val="20"/>
              </w:rPr>
              <w:t>Analysis of co-curricular programming for evidence of support for HIPs.</w:t>
            </w:r>
          </w:p>
        </w:tc>
        <w:tc>
          <w:tcPr>
            <w:tcW w:w="2201" w:type="dxa"/>
            <w:vAlign w:val="center"/>
          </w:tcPr>
          <w:p w:rsidR="005D50D0" w:rsidRDefault="00FC02B5" w:rsidP="00552F21">
            <w:pPr>
              <w:rPr>
                <w:sz w:val="20"/>
                <w:szCs w:val="20"/>
              </w:rPr>
            </w:pPr>
            <w:r>
              <w:rPr>
                <w:sz w:val="20"/>
                <w:szCs w:val="20"/>
              </w:rPr>
              <w:t>Gaps in support are identified and addressed as appropriate.</w:t>
            </w:r>
          </w:p>
        </w:tc>
        <w:tc>
          <w:tcPr>
            <w:tcW w:w="2288" w:type="dxa"/>
            <w:vAlign w:val="center"/>
          </w:tcPr>
          <w:p w:rsidR="005D50D0" w:rsidRDefault="005D50D0" w:rsidP="00552F21">
            <w:pPr>
              <w:rPr>
                <w:sz w:val="20"/>
                <w:szCs w:val="20"/>
              </w:rPr>
            </w:pPr>
            <w:r>
              <w:rPr>
                <w:sz w:val="20"/>
                <w:szCs w:val="20"/>
              </w:rPr>
              <w:t>Dean of Students and Faculty Council Student Learning and Assessment Committee</w:t>
            </w:r>
          </w:p>
        </w:tc>
        <w:tc>
          <w:tcPr>
            <w:tcW w:w="0" w:type="auto"/>
            <w:vAlign w:val="center"/>
          </w:tcPr>
          <w:p w:rsidR="005D50D0" w:rsidRDefault="005D50D0" w:rsidP="00552F21">
            <w:pPr>
              <w:rPr>
                <w:sz w:val="20"/>
                <w:szCs w:val="20"/>
              </w:rPr>
            </w:pPr>
          </w:p>
        </w:tc>
      </w:tr>
      <w:tr w:rsidR="005D50D0" w:rsidTr="00DE4AE4">
        <w:trPr>
          <w:cantSplit/>
        </w:trPr>
        <w:tc>
          <w:tcPr>
            <w:tcW w:w="1908" w:type="dxa"/>
            <w:vMerge/>
            <w:vAlign w:val="center"/>
          </w:tcPr>
          <w:p w:rsidR="005D50D0" w:rsidRPr="00D82393" w:rsidRDefault="005D50D0" w:rsidP="00552F21">
            <w:pPr>
              <w:rPr>
                <w:sz w:val="20"/>
                <w:szCs w:val="20"/>
              </w:rPr>
            </w:pPr>
          </w:p>
        </w:tc>
        <w:tc>
          <w:tcPr>
            <w:tcW w:w="2610" w:type="dxa"/>
            <w:vAlign w:val="center"/>
          </w:tcPr>
          <w:p w:rsidR="005D50D0" w:rsidRDefault="005D50D0" w:rsidP="00552F21">
            <w:pPr>
              <w:rPr>
                <w:sz w:val="20"/>
                <w:szCs w:val="20"/>
              </w:rPr>
            </w:pPr>
            <w:r>
              <w:rPr>
                <w:sz w:val="20"/>
                <w:szCs w:val="20"/>
              </w:rPr>
              <w:t>Admissions promotes high-impact educational practices and rigorous academics</w:t>
            </w:r>
          </w:p>
        </w:tc>
        <w:tc>
          <w:tcPr>
            <w:tcW w:w="3154" w:type="dxa"/>
            <w:vAlign w:val="center"/>
          </w:tcPr>
          <w:p w:rsidR="005D50D0" w:rsidRDefault="00FC02B5" w:rsidP="00552F21">
            <w:pPr>
              <w:rPr>
                <w:sz w:val="20"/>
                <w:szCs w:val="20"/>
              </w:rPr>
            </w:pPr>
            <w:r>
              <w:rPr>
                <w:sz w:val="20"/>
                <w:szCs w:val="20"/>
              </w:rPr>
              <w:t>Analysis of admissions materials for inclusion of HIPs and rigorous academics.</w:t>
            </w:r>
          </w:p>
        </w:tc>
        <w:tc>
          <w:tcPr>
            <w:tcW w:w="2201" w:type="dxa"/>
            <w:vAlign w:val="center"/>
          </w:tcPr>
          <w:p w:rsidR="005D50D0" w:rsidRDefault="003C4C92" w:rsidP="00552F21">
            <w:pPr>
              <w:rPr>
                <w:sz w:val="20"/>
                <w:szCs w:val="20"/>
              </w:rPr>
            </w:pPr>
            <w:r>
              <w:rPr>
                <w:sz w:val="20"/>
                <w:szCs w:val="20"/>
              </w:rPr>
              <w:t xml:space="preserve">  </w:t>
            </w:r>
            <w:r w:rsidR="00FC02B5">
              <w:rPr>
                <w:sz w:val="20"/>
                <w:szCs w:val="20"/>
              </w:rPr>
              <w:t>High-impact educational practices and rigorous academics becomes part of the language used for recruitment</w:t>
            </w:r>
          </w:p>
        </w:tc>
        <w:tc>
          <w:tcPr>
            <w:tcW w:w="2288" w:type="dxa"/>
            <w:vAlign w:val="center"/>
          </w:tcPr>
          <w:p w:rsidR="005D50D0" w:rsidRDefault="005D50D0" w:rsidP="00552F21">
            <w:pPr>
              <w:rPr>
                <w:sz w:val="20"/>
                <w:szCs w:val="20"/>
              </w:rPr>
            </w:pPr>
            <w:r>
              <w:rPr>
                <w:sz w:val="20"/>
                <w:szCs w:val="20"/>
              </w:rPr>
              <w:t>Admissions and Faculty Council Student Learning and Assessment Committee</w:t>
            </w:r>
          </w:p>
        </w:tc>
        <w:tc>
          <w:tcPr>
            <w:tcW w:w="0" w:type="auto"/>
            <w:vAlign w:val="center"/>
          </w:tcPr>
          <w:p w:rsidR="005D50D0" w:rsidRDefault="005D50D0" w:rsidP="00552F21">
            <w:pPr>
              <w:rPr>
                <w:sz w:val="20"/>
                <w:szCs w:val="20"/>
              </w:rPr>
            </w:pPr>
          </w:p>
        </w:tc>
      </w:tr>
    </w:tbl>
    <w:p w:rsidR="005D50D0" w:rsidRDefault="005D50D0" w:rsidP="005D50D0"/>
    <w:p w:rsidR="005D50D0" w:rsidRDefault="005D50D0" w:rsidP="005D50D0">
      <w:pPr>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Glossary Terms</w:t>
      </w:r>
    </w:p>
    <w:p w:rsidR="005D50D0" w:rsidRDefault="005D50D0" w:rsidP="005D50D0">
      <w:pPr>
        <w:rPr>
          <w:rFonts w:ascii="Times New Roman" w:hAnsi="Times New Roman" w:cs="Times New Roman"/>
          <w:bCs/>
          <w:color w:val="000000"/>
          <w:sz w:val="24"/>
          <w:szCs w:val="24"/>
        </w:rPr>
      </w:pPr>
      <w:r w:rsidRPr="00E76EB2">
        <w:rPr>
          <w:rFonts w:ascii="Times New Roman" w:hAnsi="Times New Roman" w:cs="Times New Roman"/>
          <w:bCs/>
          <w:color w:val="000000"/>
          <w:sz w:val="24"/>
          <w:szCs w:val="24"/>
        </w:rPr>
        <w:t>Annual Assessment Days</w:t>
      </w:r>
      <w:r>
        <w:rPr>
          <w:rFonts w:ascii="Times New Roman" w:hAnsi="Times New Roman" w:cs="Times New Roman"/>
          <w:bCs/>
          <w:color w:val="000000"/>
          <w:sz w:val="24"/>
          <w:szCs w:val="24"/>
        </w:rPr>
        <w:t xml:space="preserve">:  </w:t>
      </w:r>
      <w:r w:rsidRPr="00E76EB2">
        <w:rPr>
          <w:rFonts w:ascii="Times New Roman" w:hAnsi="Times New Roman" w:cs="Times New Roman"/>
          <w:bCs/>
          <w:color w:val="000000"/>
          <w:sz w:val="24"/>
          <w:szCs w:val="24"/>
        </w:rPr>
        <w:t>Every year during Bridge Week, one session is set aside during the week for a meeting devoted to the assessment of one of the Institutional Learning Objectives (ILOs).  Faculty from across all the schools and colleges, as well as staff and administrators from relevant units, identify exemplary artifacts and work with them using a common instrument, then generate findings and recommendations to be shared at the start of the following academic year.</w:t>
      </w:r>
    </w:p>
    <w:p w:rsidR="005D50D0" w:rsidRDefault="005D50D0" w:rsidP="005D50D0">
      <w:pPr>
        <w:rPr>
          <w:rFonts w:ascii="Times New Roman" w:hAnsi="Times New Roman" w:cs="Times New Roman"/>
          <w:bCs/>
          <w:color w:val="000000"/>
          <w:sz w:val="24"/>
          <w:szCs w:val="24"/>
        </w:rPr>
      </w:pPr>
    </w:p>
    <w:p w:rsidR="005D50D0" w:rsidRPr="00E76EB2" w:rsidRDefault="005D50D0" w:rsidP="005D50D0">
      <w:pPr>
        <w:rPr>
          <w:rFonts w:ascii="Times New Roman" w:hAnsi="Times New Roman" w:cs="Times New Roman"/>
          <w:bCs/>
          <w:color w:val="000000"/>
          <w:sz w:val="24"/>
          <w:szCs w:val="24"/>
        </w:rPr>
      </w:pPr>
      <w:r w:rsidRPr="00E76EB2">
        <w:rPr>
          <w:rFonts w:ascii="Times New Roman" w:hAnsi="Times New Roman" w:cs="Times New Roman"/>
          <w:bCs/>
          <w:color w:val="000000"/>
          <w:sz w:val="24"/>
          <w:szCs w:val="24"/>
        </w:rPr>
        <w:t>High-Impact Educational Practices</w:t>
      </w:r>
      <w:r>
        <w:rPr>
          <w:rFonts w:ascii="Times New Roman" w:hAnsi="Times New Roman" w:cs="Times New Roman"/>
          <w:bCs/>
          <w:color w:val="000000"/>
          <w:sz w:val="24"/>
          <w:szCs w:val="24"/>
        </w:rPr>
        <w:t xml:space="preserve">:  The list of high-impact educational practices </w:t>
      </w:r>
      <w:r w:rsidRPr="00E76EB2">
        <w:rPr>
          <w:rFonts w:ascii="Times New Roman" w:hAnsi="Times New Roman" w:cs="Times New Roman"/>
          <w:bCs/>
          <w:color w:val="000000"/>
          <w:sz w:val="24"/>
          <w:szCs w:val="24"/>
        </w:rPr>
        <w:t>from AAC&amp;U</w:t>
      </w:r>
      <w:r>
        <w:rPr>
          <w:rFonts w:ascii="Times New Roman" w:hAnsi="Times New Roman" w:cs="Times New Roman"/>
          <w:bCs/>
          <w:color w:val="000000"/>
          <w:sz w:val="24"/>
          <w:szCs w:val="24"/>
        </w:rPr>
        <w:t xml:space="preserve"> was </w:t>
      </w:r>
      <w:r w:rsidRPr="00E76EB2">
        <w:rPr>
          <w:rFonts w:ascii="Times New Roman" w:hAnsi="Times New Roman" w:cs="Times New Roman"/>
          <w:bCs/>
          <w:color w:val="000000"/>
          <w:sz w:val="24"/>
          <w:szCs w:val="24"/>
        </w:rPr>
        <w:t>developed for undergraduate programs</w:t>
      </w:r>
      <w:r>
        <w:rPr>
          <w:rFonts w:ascii="Times New Roman" w:hAnsi="Times New Roman" w:cs="Times New Roman"/>
          <w:bCs/>
          <w:color w:val="000000"/>
          <w:sz w:val="24"/>
          <w:szCs w:val="24"/>
        </w:rPr>
        <w:t xml:space="preserve"> and can be used as a starting point for these discussions.  Ma</w:t>
      </w:r>
      <w:r w:rsidRPr="00E76EB2">
        <w:rPr>
          <w:rFonts w:ascii="Times New Roman" w:hAnsi="Times New Roman" w:cs="Times New Roman"/>
          <w:bCs/>
          <w:color w:val="000000"/>
          <w:sz w:val="24"/>
          <w:szCs w:val="24"/>
        </w:rPr>
        <w:t xml:space="preserve">ny elements of this list can be adapted for graduate programs.  These practices include: </w:t>
      </w:r>
    </w:p>
    <w:p w:rsidR="005D50D0" w:rsidRPr="00E76EB2" w:rsidRDefault="005D50D0" w:rsidP="005D50D0">
      <w:pPr>
        <w:rPr>
          <w:rFonts w:ascii="Times New Roman" w:hAnsi="Times New Roman" w:cs="Times New Roman"/>
          <w:bCs/>
          <w:color w:val="000000"/>
          <w:sz w:val="24"/>
          <w:szCs w:val="24"/>
        </w:rPr>
      </w:pPr>
      <w:r w:rsidRPr="00E76EB2">
        <w:rPr>
          <w:rFonts w:ascii="Times New Roman" w:hAnsi="Times New Roman" w:cs="Times New Roman"/>
          <w:bCs/>
          <w:color w:val="000000"/>
          <w:sz w:val="24"/>
          <w:szCs w:val="24"/>
        </w:rPr>
        <w:t>•</w:t>
      </w:r>
      <w:r w:rsidRPr="00E76EB2">
        <w:rPr>
          <w:rFonts w:ascii="Times New Roman" w:hAnsi="Times New Roman" w:cs="Times New Roman"/>
          <w:bCs/>
          <w:color w:val="000000"/>
          <w:sz w:val="24"/>
          <w:szCs w:val="24"/>
        </w:rPr>
        <w:tab/>
        <w:t xml:space="preserve">First-Year Seminars and Experiences </w:t>
      </w:r>
    </w:p>
    <w:p w:rsidR="005D50D0" w:rsidRPr="00E76EB2" w:rsidRDefault="005D50D0" w:rsidP="005D50D0">
      <w:pPr>
        <w:rPr>
          <w:rFonts w:ascii="Times New Roman" w:hAnsi="Times New Roman" w:cs="Times New Roman"/>
          <w:bCs/>
          <w:color w:val="000000"/>
          <w:sz w:val="24"/>
          <w:szCs w:val="24"/>
        </w:rPr>
      </w:pPr>
      <w:r w:rsidRPr="00E76EB2">
        <w:rPr>
          <w:rFonts w:ascii="Times New Roman" w:hAnsi="Times New Roman" w:cs="Times New Roman"/>
          <w:bCs/>
          <w:color w:val="000000"/>
          <w:sz w:val="24"/>
          <w:szCs w:val="24"/>
        </w:rPr>
        <w:t>•</w:t>
      </w:r>
      <w:r w:rsidRPr="00E76EB2">
        <w:rPr>
          <w:rFonts w:ascii="Times New Roman" w:hAnsi="Times New Roman" w:cs="Times New Roman"/>
          <w:bCs/>
          <w:color w:val="000000"/>
          <w:sz w:val="24"/>
          <w:szCs w:val="24"/>
        </w:rPr>
        <w:tab/>
        <w:t xml:space="preserve">Common Intellectual Experiences </w:t>
      </w:r>
    </w:p>
    <w:p w:rsidR="005D50D0" w:rsidRPr="00E76EB2" w:rsidRDefault="005D50D0" w:rsidP="005D50D0">
      <w:pPr>
        <w:rPr>
          <w:rFonts w:ascii="Times New Roman" w:hAnsi="Times New Roman" w:cs="Times New Roman"/>
          <w:bCs/>
          <w:color w:val="000000"/>
          <w:sz w:val="24"/>
          <w:szCs w:val="24"/>
        </w:rPr>
      </w:pPr>
      <w:r w:rsidRPr="00E76EB2">
        <w:rPr>
          <w:rFonts w:ascii="Times New Roman" w:hAnsi="Times New Roman" w:cs="Times New Roman"/>
          <w:bCs/>
          <w:color w:val="000000"/>
          <w:sz w:val="24"/>
          <w:szCs w:val="24"/>
        </w:rPr>
        <w:t>•</w:t>
      </w:r>
      <w:r w:rsidRPr="00E76EB2">
        <w:rPr>
          <w:rFonts w:ascii="Times New Roman" w:hAnsi="Times New Roman" w:cs="Times New Roman"/>
          <w:bCs/>
          <w:color w:val="000000"/>
          <w:sz w:val="24"/>
          <w:szCs w:val="24"/>
        </w:rPr>
        <w:tab/>
        <w:t xml:space="preserve">Learning Communities </w:t>
      </w:r>
    </w:p>
    <w:p w:rsidR="005D50D0" w:rsidRPr="00E76EB2" w:rsidRDefault="005D50D0" w:rsidP="005D50D0">
      <w:pPr>
        <w:rPr>
          <w:rFonts w:ascii="Times New Roman" w:hAnsi="Times New Roman" w:cs="Times New Roman"/>
          <w:bCs/>
          <w:color w:val="000000"/>
          <w:sz w:val="24"/>
          <w:szCs w:val="24"/>
        </w:rPr>
      </w:pPr>
      <w:r w:rsidRPr="00E76EB2">
        <w:rPr>
          <w:rFonts w:ascii="Times New Roman" w:hAnsi="Times New Roman" w:cs="Times New Roman"/>
          <w:bCs/>
          <w:color w:val="000000"/>
          <w:sz w:val="24"/>
          <w:szCs w:val="24"/>
        </w:rPr>
        <w:t>•</w:t>
      </w:r>
      <w:r w:rsidRPr="00E76EB2">
        <w:rPr>
          <w:rFonts w:ascii="Times New Roman" w:hAnsi="Times New Roman" w:cs="Times New Roman"/>
          <w:bCs/>
          <w:color w:val="000000"/>
          <w:sz w:val="24"/>
          <w:szCs w:val="24"/>
        </w:rPr>
        <w:tab/>
        <w:t xml:space="preserve">Writing-Intensive Courses </w:t>
      </w:r>
    </w:p>
    <w:p w:rsidR="005D50D0" w:rsidRPr="00E76EB2" w:rsidRDefault="005D50D0" w:rsidP="005D50D0">
      <w:pPr>
        <w:rPr>
          <w:rFonts w:ascii="Times New Roman" w:hAnsi="Times New Roman" w:cs="Times New Roman"/>
          <w:bCs/>
          <w:color w:val="000000"/>
          <w:sz w:val="24"/>
          <w:szCs w:val="24"/>
        </w:rPr>
      </w:pPr>
      <w:r w:rsidRPr="00E76EB2">
        <w:rPr>
          <w:rFonts w:ascii="Times New Roman" w:hAnsi="Times New Roman" w:cs="Times New Roman"/>
          <w:bCs/>
          <w:color w:val="000000"/>
          <w:sz w:val="24"/>
          <w:szCs w:val="24"/>
        </w:rPr>
        <w:t>•</w:t>
      </w:r>
      <w:r w:rsidRPr="00E76EB2">
        <w:rPr>
          <w:rFonts w:ascii="Times New Roman" w:hAnsi="Times New Roman" w:cs="Times New Roman"/>
          <w:bCs/>
          <w:color w:val="000000"/>
          <w:sz w:val="24"/>
          <w:szCs w:val="24"/>
        </w:rPr>
        <w:tab/>
        <w:t xml:space="preserve">Collaborative Assignments and Projects </w:t>
      </w:r>
    </w:p>
    <w:p w:rsidR="005D50D0" w:rsidRPr="00E76EB2" w:rsidRDefault="005D50D0" w:rsidP="005D50D0">
      <w:pPr>
        <w:rPr>
          <w:rFonts w:ascii="Times New Roman" w:hAnsi="Times New Roman" w:cs="Times New Roman"/>
          <w:bCs/>
          <w:color w:val="000000"/>
          <w:sz w:val="24"/>
          <w:szCs w:val="24"/>
        </w:rPr>
      </w:pPr>
      <w:r w:rsidRPr="00E76EB2">
        <w:rPr>
          <w:rFonts w:ascii="Times New Roman" w:hAnsi="Times New Roman" w:cs="Times New Roman"/>
          <w:bCs/>
          <w:color w:val="000000"/>
          <w:sz w:val="24"/>
          <w:szCs w:val="24"/>
        </w:rPr>
        <w:t>•</w:t>
      </w:r>
      <w:r w:rsidRPr="00E76EB2">
        <w:rPr>
          <w:rFonts w:ascii="Times New Roman" w:hAnsi="Times New Roman" w:cs="Times New Roman"/>
          <w:bCs/>
          <w:color w:val="000000"/>
          <w:sz w:val="24"/>
          <w:szCs w:val="24"/>
        </w:rPr>
        <w:tab/>
        <w:t xml:space="preserve">Undergraduate Research </w:t>
      </w:r>
    </w:p>
    <w:p w:rsidR="005D50D0" w:rsidRPr="00E76EB2" w:rsidRDefault="005D50D0" w:rsidP="005D50D0">
      <w:pPr>
        <w:rPr>
          <w:rFonts w:ascii="Times New Roman" w:hAnsi="Times New Roman" w:cs="Times New Roman"/>
          <w:bCs/>
          <w:color w:val="000000"/>
          <w:sz w:val="24"/>
          <w:szCs w:val="24"/>
        </w:rPr>
      </w:pPr>
      <w:r w:rsidRPr="00E76EB2">
        <w:rPr>
          <w:rFonts w:ascii="Times New Roman" w:hAnsi="Times New Roman" w:cs="Times New Roman"/>
          <w:bCs/>
          <w:color w:val="000000"/>
          <w:sz w:val="24"/>
          <w:szCs w:val="24"/>
        </w:rPr>
        <w:t>•</w:t>
      </w:r>
      <w:r w:rsidRPr="00E76EB2">
        <w:rPr>
          <w:rFonts w:ascii="Times New Roman" w:hAnsi="Times New Roman" w:cs="Times New Roman"/>
          <w:bCs/>
          <w:color w:val="000000"/>
          <w:sz w:val="24"/>
          <w:szCs w:val="24"/>
        </w:rPr>
        <w:tab/>
        <w:t xml:space="preserve">Diversity/Global Learning </w:t>
      </w:r>
    </w:p>
    <w:p w:rsidR="005D50D0" w:rsidRPr="00E76EB2" w:rsidRDefault="005D50D0" w:rsidP="005D50D0">
      <w:pPr>
        <w:rPr>
          <w:rFonts w:ascii="Times New Roman" w:hAnsi="Times New Roman" w:cs="Times New Roman"/>
          <w:bCs/>
          <w:color w:val="000000"/>
          <w:sz w:val="24"/>
          <w:szCs w:val="24"/>
        </w:rPr>
      </w:pPr>
      <w:r w:rsidRPr="00E76EB2">
        <w:rPr>
          <w:rFonts w:ascii="Times New Roman" w:hAnsi="Times New Roman" w:cs="Times New Roman"/>
          <w:bCs/>
          <w:color w:val="000000"/>
          <w:sz w:val="24"/>
          <w:szCs w:val="24"/>
        </w:rPr>
        <w:t>•</w:t>
      </w:r>
      <w:r w:rsidRPr="00E76EB2">
        <w:rPr>
          <w:rFonts w:ascii="Times New Roman" w:hAnsi="Times New Roman" w:cs="Times New Roman"/>
          <w:bCs/>
          <w:color w:val="000000"/>
          <w:sz w:val="24"/>
          <w:szCs w:val="24"/>
        </w:rPr>
        <w:tab/>
        <w:t xml:space="preserve">Service Learning, Community-Based Learning </w:t>
      </w:r>
    </w:p>
    <w:p w:rsidR="005D50D0" w:rsidRPr="00E76EB2" w:rsidRDefault="005D50D0" w:rsidP="005D50D0">
      <w:pPr>
        <w:rPr>
          <w:rFonts w:ascii="Times New Roman" w:hAnsi="Times New Roman" w:cs="Times New Roman"/>
          <w:bCs/>
          <w:color w:val="000000"/>
          <w:sz w:val="24"/>
          <w:szCs w:val="24"/>
        </w:rPr>
      </w:pPr>
      <w:r w:rsidRPr="00E76EB2">
        <w:rPr>
          <w:rFonts w:ascii="Times New Roman" w:hAnsi="Times New Roman" w:cs="Times New Roman"/>
          <w:bCs/>
          <w:color w:val="000000"/>
          <w:sz w:val="24"/>
          <w:szCs w:val="24"/>
        </w:rPr>
        <w:t>•</w:t>
      </w:r>
      <w:r w:rsidRPr="00E76EB2">
        <w:rPr>
          <w:rFonts w:ascii="Times New Roman" w:hAnsi="Times New Roman" w:cs="Times New Roman"/>
          <w:bCs/>
          <w:color w:val="000000"/>
          <w:sz w:val="24"/>
          <w:szCs w:val="24"/>
        </w:rPr>
        <w:tab/>
        <w:t xml:space="preserve">Internships </w:t>
      </w:r>
    </w:p>
    <w:p w:rsidR="005D50D0" w:rsidRDefault="005D50D0" w:rsidP="005D50D0">
      <w:pPr>
        <w:rPr>
          <w:rFonts w:ascii="Times New Roman" w:hAnsi="Times New Roman" w:cs="Times New Roman"/>
          <w:bCs/>
          <w:color w:val="000000"/>
          <w:sz w:val="24"/>
          <w:szCs w:val="24"/>
        </w:rPr>
      </w:pPr>
      <w:r w:rsidRPr="00E76EB2">
        <w:rPr>
          <w:rFonts w:ascii="Times New Roman" w:hAnsi="Times New Roman" w:cs="Times New Roman"/>
          <w:bCs/>
          <w:color w:val="000000"/>
          <w:sz w:val="24"/>
          <w:szCs w:val="24"/>
        </w:rPr>
        <w:t>•</w:t>
      </w:r>
      <w:r w:rsidRPr="00E76EB2">
        <w:rPr>
          <w:rFonts w:ascii="Times New Roman" w:hAnsi="Times New Roman" w:cs="Times New Roman"/>
          <w:bCs/>
          <w:color w:val="000000"/>
          <w:sz w:val="24"/>
          <w:szCs w:val="24"/>
        </w:rPr>
        <w:tab/>
        <w:t>Capstone Courses and Projects</w:t>
      </w:r>
    </w:p>
    <w:p w:rsidR="005D50D0" w:rsidRDefault="005D50D0" w:rsidP="005D50D0">
      <w:pPr>
        <w:rPr>
          <w:rFonts w:ascii="Times New Roman" w:hAnsi="Times New Roman" w:cs="Times New Roman"/>
          <w:bCs/>
          <w:color w:val="000000"/>
          <w:sz w:val="24"/>
          <w:szCs w:val="24"/>
        </w:rPr>
      </w:pPr>
    </w:p>
    <w:p w:rsidR="005D50D0" w:rsidRDefault="005D50D0" w:rsidP="005D50D0">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Characteristics of High Impact Practices.  From </w:t>
      </w:r>
      <w:r w:rsidRPr="00BC20ED">
        <w:rPr>
          <w:rFonts w:ascii="Times New Roman" w:hAnsi="Times New Roman" w:cs="Times New Roman"/>
          <w:bCs/>
          <w:color w:val="000000"/>
          <w:sz w:val="24"/>
          <w:szCs w:val="24"/>
        </w:rPr>
        <w:t xml:space="preserve">Kuh, G., &amp; O'Donnell, K. (2013) Ensuring quality &amp; taking high-impact practices to scale.  Washington, DC: Association of American Colleges and Universities.  </w:t>
      </w:r>
    </w:p>
    <w:p w:rsidR="005D50D0" w:rsidRPr="00BC20ED" w:rsidRDefault="005D50D0" w:rsidP="005D50D0">
      <w:pPr>
        <w:pStyle w:val="ListParagraph"/>
        <w:numPr>
          <w:ilvl w:val="0"/>
          <w:numId w:val="2"/>
        </w:numPr>
        <w:rPr>
          <w:rFonts w:ascii="Times New Roman" w:hAnsi="Times New Roman" w:cs="Times New Roman"/>
          <w:bCs/>
          <w:color w:val="000000"/>
          <w:sz w:val="24"/>
          <w:szCs w:val="24"/>
        </w:rPr>
      </w:pPr>
      <w:r w:rsidRPr="00BC20ED">
        <w:rPr>
          <w:rFonts w:ascii="Times New Roman" w:hAnsi="Times New Roman" w:cs="Times New Roman"/>
          <w:bCs/>
          <w:color w:val="000000"/>
          <w:sz w:val="24"/>
          <w:szCs w:val="24"/>
        </w:rPr>
        <w:t>Performance expectations set at appropriately high levels</w:t>
      </w:r>
    </w:p>
    <w:p w:rsidR="005D50D0" w:rsidRPr="00BC20ED" w:rsidRDefault="005D50D0" w:rsidP="005D50D0">
      <w:pPr>
        <w:pStyle w:val="ListParagraph"/>
        <w:numPr>
          <w:ilvl w:val="0"/>
          <w:numId w:val="2"/>
        </w:numPr>
        <w:rPr>
          <w:rFonts w:ascii="Times New Roman" w:hAnsi="Times New Roman" w:cs="Times New Roman"/>
          <w:bCs/>
          <w:color w:val="000000"/>
          <w:sz w:val="24"/>
          <w:szCs w:val="24"/>
        </w:rPr>
      </w:pPr>
      <w:r w:rsidRPr="00BC20ED">
        <w:rPr>
          <w:rFonts w:ascii="Times New Roman" w:hAnsi="Times New Roman" w:cs="Times New Roman"/>
          <w:bCs/>
          <w:color w:val="000000"/>
          <w:sz w:val="24"/>
          <w:szCs w:val="24"/>
        </w:rPr>
        <w:t>Significant investment of time and effort by students over an extended period of time</w:t>
      </w:r>
    </w:p>
    <w:p w:rsidR="005D50D0" w:rsidRPr="00BC20ED" w:rsidRDefault="005D50D0" w:rsidP="005D50D0">
      <w:pPr>
        <w:pStyle w:val="ListParagraph"/>
        <w:numPr>
          <w:ilvl w:val="0"/>
          <w:numId w:val="2"/>
        </w:numPr>
        <w:rPr>
          <w:rFonts w:ascii="Times New Roman" w:hAnsi="Times New Roman" w:cs="Times New Roman"/>
          <w:bCs/>
          <w:color w:val="000000"/>
          <w:sz w:val="24"/>
          <w:szCs w:val="24"/>
        </w:rPr>
      </w:pPr>
      <w:r w:rsidRPr="00BC20ED">
        <w:rPr>
          <w:rFonts w:ascii="Times New Roman" w:hAnsi="Times New Roman" w:cs="Times New Roman"/>
          <w:bCs/>
          <w:color w:val="000000"/>
          <w:sz w:val="24"/>
          <w:szCs w:val="24"/>
        </w:rPr>
        <w:t>Experiences with diversity</w:t>
      </w:r>
    </w:p>
    <w:p w:rsidR="005D50D0" w:rsidRPr="00BC20ED" w:rsidRDefault="005D50D0" w:rsidP="005D50D0">
      <w:pPr>
        <w:pStyle w:val="ListParagraph"/>
        <w:numPr>
          <w:ilvl w:val="0"/>
          <w:numId w:val="2"/>
        </w:numPr>
        <w:rPr>
          <w:rFonts w:ascii="Times New Roman" w:hAnsi="Times New Roman" w:cs="Times New Roman"/>
          <w:bCs/>
          <w:color w:val="000000"/>
          <w:sz w:val="24"/>
          <w:szCs w:val="24"/>
        </w:rPr>
      </w:pPr>
      <w:r w:rsidRPr="00BC20ED">
        <w:rPr>
          <w:rFonts w:ascii="Times New Roman" w:hAnsi="Times New Roman" w:cs="Times New Roman"/>
          <w:bCs/>
          <w:color w:val="000000"/>
          <w:sz w:val="24"/>
          <w:szCs w:val="24"/>
        </w:rPr>
        <w:t>Frequent, timely, and constructive feedback</w:t>
      </w:r>
    </w:p>
    <w:p w:rsidR="005D50D0" w:rsidRPr="00BC20ED" w:rsidRDefault="005D50D0" w:rsidP="005D50D0">
      <w:pPr>
        <w:pStyle w:val="ListParagraph"/>
        <w:numPr>
          <w:ilvl w:val="0"/>
          <w:numId w:val="2"/>
        </w:numPr>
        <w:rPr>
          <w:rFonts w:ascii="Times New Roman" w:hAnsi="Times New Roman" w:cs="Times New Roman"/>
          <w:bCs/>
          <w:color w:val="000000"/>
          <w:sz w:val="24"/>
          <w:szCs w:val="24"/>
        </w:rPr>
      </w:pPr>
      <w:r w:rsidRPr="00BC20ED">
        <w:rPr>
          <w:rFonts w:ascii="Times New Roman" w:hAnsi="Times New Roman" w:cs="Times New Roman"/>
          <w:bCs/>
          <w:color w:val="000000"/>
          <w:sz w:val="24"/>
          <w:szCs w:val="24"/>
        </w:rPr>
        <w:t>Periodic, structured opportunities to reflect and integrate learning</w:t>
      </w:r>
    </w:p>
    <w:p w:rsidR="005D50D0" w:rsidRPr="00BC20ED" w:rsidRDefault="005D50D0" w:rsidP="005D50D0">
      <w:pPr>
        <w:pStyle w:val="ListParagraph"/>
        <w:numPr>
          <w:ilvl w:val="0"/>
          <w:numId w:val="2"/>
        </w:numPr>
        <w:rPr>
          <w:rFonts w:ascii="Times New Roman" w:hAnsi="Times New Roman" w:cs="Times New Roman"/>
          <w:bCs/>
          <w:color w:val="000000"/>
          <w:sz w:val="24"/>
          <w:szCs w:val="24"/>
        </w:rPr>
      </w:pPr>
      <w:r w:rsidRPr="00BC20ED">
        <w:rPr>
          <w:rFonts w:ascii="Times New Roman" w:hAnsi="Times New Roman" w:cs="Times New Roman"/>
          <w:bCs/>
          <w:color w:val="000000"/>
          <w:sz w:val="24"/>
          <w:szCs w:val="24"/>
        </w:rPr>
        <w:t>Opportunities to discover relevance of learning through real-world applications</w:t>
      </w:r>
    </w:p>
    <w:p w:rsidR="005D50D0" w:rsidRDefault="005D50D0" w:rsidP="00DE4AE4">
      <w:pPr>
        <w:pStyle w:val="ListParagraph"/>
        <w:numPr>
          <w:ilvl w:val="0"/>
          <w:numId w:val="2"/>
        </w:numPr>
        <w:spacing w:after="200"/>
      </w:pPr>
      <w:r w:rsidRPr="00DE4AE4">
        <w:rPr>
          <w:rFonts w:ascii="Times New Roman" w:hAnsi="Times New Roman" w:cs="Times New Roman"/>
          <w:bCs/>
          <w:color w:val="000000"/>
          <w:sz w:val="24"/>
          <w:szCs w:val="24"/>
        </w:rPr>
        <w:t>Public demonstration of competence</w:t>
      </w:r>
    </w:p>
    <w:sectPr w:rsidR="005D50D0" w:rsidSect="001E1EEC">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273" w:rsidRDefault="00CF6273" w:rsidP="00DB622F">
      <w:pPr>
        <w:spacing w:line="240" w:lineRule="auto"/>
      </w:pPr>
      <w:r>
        <w:separator/>
      </w:r>
    </w:p>
  </w:endnote>
  <w:endnote w:type="continuationSeparator" w:id="0">
    <w:p w:rsidR="00CF6273" w:rsidRDefault="00CF6273" w:rsidP="00DB62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FA2" w:rsidRDefault="00141F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569464"/>
      <w:docPartObj>
        <w:docPartGallery w:val="Page Numbers (Bottom of Page)"/>
        <w:docPartUnique/>
      </w:docPartObj>
    </w:sdtPr>
    <w:sdtEndPr>
      <w:rPr>
        <w:noProof/>
      </w:rPr>
    </w:sdtEndPr>
    <w:sdtContent>
      <w:p w:rsidR="00141FA2" w:rsidRDefault="00141FA2">
        <w:pPr>
          <w:pStyle w:val="Footer"/>
          <w:jc w:val="right"/>
        </w:pPr>
        <w:r>
          <w:fldChar w:fldCharType="begin"/>
        </w:r>
        <w:r>
          <w:instrText xml:space="preserve"> PAGE   \* MERGEFORMAT </w:instrText>
        </w:r>
        <w:r>
          <w:fldChar w:fldCharType="separate"/>
        </w:r>
        <w:r w:rsidR="002E139A">
          <w:rPr>
            <w:noProof/>
          </w:rPr>
          <w:t>6</w:t>
        </w:r>
        <w:r>
          <w:rPr>
            <w:noProof/>
          </w:rPr>
          <w:fldChar w:fldCharType="end"/>
        </w:r>
      </w:p>
    </w:sdtContent>
  </w:sdt>
  <w:p w:rsidR="00141FA2" w:rsidRDefault="00141F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FA2" w:rsidRDefault="00141F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273" w:rsidRDefault="00CF6273" w:rsidP="00DB622F">
      <w:pPr>
        <w:spacing w:line="240" w:lineRule="auto"/>
      </w:pPr>
      <w:r>
        <w:separator/>
      </w:r>
    </w:p>
  </w:footnote>
  <w:footnote w:type="continuationSeparator" w:id="0">
    <w:p w:rsidR="00CF6273" w:rsidRDefault="00CF6273" w:rsidP="00DB622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FA2" w:rsidRDefault="00141F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FA2" w:rsidRDefault="00141FA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FA2" w:rsidRDefault="00141F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B2037"/>
    <w:multiLevelType w:val="hybridMultilevel"/>
    <w:tmpl w:val="F22069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C3A05BC"/>
    <w:multiLevelType w:val="hybridMultilevel"/>
    <w:tmpl w:val="76CE5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EEC"/>
    <w:rsid w:val="00024A89"/>
    <w:rsid w:val="00071996"/>
    <w:rsid w:val="000B5071"/>
    <w:rsid w:val="000C0BAD"/>
    <w:rsid w:val="000D0796"/>
    <w:rsid w:val="00141FA2"/>
    <w:rsid w:val="001E1EEC"/>
    <w:rsid w:val="00217B7B"/>
    <w:rsid w:val="0023001F"/>
    <w:rsid w:val="002D291E"/>
    <w:rsid w:val="002D3B82"/>
    <w:rsid w:val="002E139A"/>
    <w:rsid w:val="002F42C7"/>
    <w:rsid w:val="002F60E9"/>
    <w:rsid w:val="003131C9"/>
    <w:rsid w:val="00352944"/>
    <w:rsid w:val="00395CDD"/>
    <w:rsid w:val="003A5669"/>
    <w:rsid w:val="003C4C92"/>
    <w:rsid w:val="003D254C"/>
    <w:rsid w:val="00413942"/>
    <w:rsid w:val="004578FB"/>
    <w:rsid w:val="004B59A3"/>
    <w:rsid w:val="004F3BB6"/>
    <w:rsid w:val="00552F21"/>
    <w:rsid w:val="00590D10"/>
    <w:rsid w:val="005D50D0"/>
    <w:rsid w:val="005D6949"/>
    <w:rsid w:val="005E0EC5"/>
    <w:rsid w:val="005F662D"/>
    <w:rsid w:val="00670190"/>
    <w:rsid w:val="00673849"/>
    <w:rsid w:val="00690F37"/>
    <w:rsid w:val="006F04BD"/>
    <w:rsid w:val="00713346"/>
    <w:rsid w:val="00764CCC"/>
    <w:rsid w:val="0079336B"/>
    <w:rsid w:val="00816FC7"/>
    <w:rsid w:val="00836263"/>
    <w:rsid w:val="008556A2"/>
    <w:rsid w:val="00867CFD"/>
    <w:rsid w:val="008E491C"/>
    <w:rsid w:val="00935548"/>
    <w:rsid w:val="009748D7"/>
    <w:rsid w:val="00975208"/>
    <w:rsid w:val="00996176"/>
    <w:rsid w:val="00A9218B"/>
    <w:rsid w:val="00AA2B12"/>
    <w:rsid w:val="00AD412F"/>
    <w:rsid w:val="00B06415"/>
    <w:rsid w:val="00B74648"/>
    <w:rsid w:val="00B87EA0"/>
    <w:rsid w:val="00B92962"/>
    <w:rsid w:val="00B96E12"/>
    <w:rsid w:val="00BF535A"/>
    <w:rsid w:val="00C24822"/>
    <w:rsid w:val="00CA3B8D"/>
    <w:rsid w:val="00CF6273"/>
    <w:rsid w:val="00D52A90"/>
    <w:rsid w:val="00D80A5C"/>
    <w:rsid w:val="00DB622F"/>
    <w:rsid w:val="00DC1F30"/>
    <w:rsid w:val="00DE4AE4"/>
    <w:rsid w:val="00E06105"/>
    <w:rsid w:val="00E52533"/>
    <w:rsid w:val="00E5601E"/>
    <w:rsid w:val="00E93C7D"/>
    <w:rsid w:val="00E95289"/>
    <w:rsid w:val="00EC0F7A"/>
    <w:rsid w:val="00F46E68"/>
    <w:rsid w:val="00FC02B5"/>
    <w:rsid w:val="00FD1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EEC"/>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1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B8D"/>
    <w:pPr>
      <w:ind w:left="720"/>
      <w:contextualSpacing/>
    </w:pPr>
  </w:style>
  <w:style w:type="character" w:styleId="Hyperlink">
    <w:name w:val="Hyperlink"/>
    <w:basedOn w:val="DefaultParagraphFont"/>
    <w:uiPriority w:val="99"/>
    <w:semiHidden/>
    <w:unhideWhenUsed/>
    <w:rsid w:val="00C24822"/>
    <w:rPr>
      <w:color w:val="0000FF" w:themeColor="hyperlink"/>
      <w:u w:val="single"/>
    </w:rPr>
  </w:style>
  <w:style w:type="paragraph" w:styleId="NormalWeb">
    <w:name w:val="Normal (Web)"/>
    <w:basedOn w:val="Normal"/>
    <w:uiPriority w:val="99"/>
    <w:semiHidden/>
    <w:unhideWhenUsed/>
    <w:rsid w:val="00C24822"/>
    <w:pPr>
      <w:spacing w:beforeLines="1" w:line="240" w:lineRule="auto"/>
    </w:pPr>
    <w:rPr>
      <w:rFonts w:ascii="Times" w:hAnsi="Times" w:cs="Times New Roman"/>
      <w:sz w:val="20"/>
      <w:szCs w:val="20"/>
    </w:rPr>
  </w:style>
  <w:style w:type="paragraph" w:customStyle="1" w:styleId="Default">
    <w:name w:val="Default"/>
    <w:uiPriority w:val="99"/>
    <w:semiHidden/>
    <w:rsid w:val="00C24822"/>
    <w:pPr>
      <w:widowControl w:val="0"/>
      <w:autoSpaceDE w:val="0"/>
      <w:autoSpaceDN w:val="0"/>
      <w:adjustRightInd w:val="0"/>
      <w:spacing w:beforeLines="1" w:afterLines="1" w:after="0" w:line="240" w:lineRule="auto"/>
    </w:pPr>
    <w:rPr>
      <w:rFonts w:ascii="Calibri" w:hAnsi="Calibri" w:cs="Calibri"/>
      <w:color w:val="000000"/>
      <w:sz w:val="24"/>
      <w:szCs w:val="24"/>
    </w:rPr>
  </w:style>
  <w:style w:type="character" w:styleId="Strong">
    <w:name w:val="Strong"/>
    <w:basedOn w:val="DefaultParagraphFont"/>
    <w:uiPriority w:val="22"/>
    <w:qFormat/>
    <w:rsid w:val="00C24822"/>
    <w:rPr>
      <w:b/>
      <w:bCs/>
    </w:rPr>
  </w:style>
  <w:style w:type="character" w:styleId="Emphasis">
    <w:name w:val="Emphasis"/>
    <w:basedOn w:val="DefaultParagraphFont"/>
    <w:uiPriority w:val="20"/>
    <w:qFormat/>
    <w:rsid w:val="00C24822"/>
    <w:rPr>
      <w:i/>
      <w:iCs/>
    </w:rPr>
  </w:style>
  <w:style w:type="paragraph" w:styleId="Header">
    <w:name w:val="header"/>
    <w:basedOn w:val="Normal"/>
    <w:link w:val="HeaderChar"/>
    <w:uiPriority w:val="99"/>
    <w:unhideWhenUsed/>
    <w:rsid w:val="00DB622F"/>
    <w:pPr>
      <w:tabs>
        <w:tab w:val="center" w:pos="4680"/>
        <w:tab w:val="right" w:pos="9360"/>
      </w:tabs>
      <w:spacing w:line="240" w:lineRule="auto"/>
    </w:pPr>
  </w:style>
  <w:style w:type="character" w:customStyle="1" w:styleId="HeaderChar">
    <w:name w:val="Header Char"/>
    <w:basedOn w:val="DefaultParagraphFont"/>
    <w:link w:val="Header"/>
    <w:uiPriority w:val="99"/>
    <w:rsid w:val="00DB622F"/>
  </w:style>
  <w:style w:type="paragraph" w:styleId="Footer">
    <w:name w:val="footer"/>
    <w:basedOn w:val="Normal"/>
    <w:link w:val="FooterChar"/>
    <w:uiPriority w:val="99"/>
    <w:unhideWhenUsed/>
    <w:rsid w:val="00DB622F"/>
    <w:pPr>
      <w:tabs>
        <w:tab w:val="center" w:pos="4680"/>
        <w:tab w:val="right" w:pos="9360"/>
      </w:tabs>
      <w:spacing w:line="240" w:lineRule="auto"/>
    </w:pPr>
  </w:style>
  <w:style w:type="character" w:customStyle="1" w:styleId="FooterChar">
    <w:name w:val="Footer Char"/>
    <w:basedOn w:val="DefaultParagraphFont"/>
    <w:link w:val="Footer"/>
    <w:uiPriority w:val="99"/>
    <w:rsid w:val="00DB622F"/>
  </w:style>
  <w:style w:type="character" w:styleId="CommentReference">
    <w:name w:val="annotation reference"/>
    <w:basedOn w:val="DefaultParagraphFont"/>
    <w:uiPriority w:val="99"/>
    <w:semiHidden/>
    <w:unhideWhenUsed/>
    <w:rsid w:val="005D6949"/>
    <w:rPr>
      <w:sz w:val="16"/>
      <w:szCs w:val="16"/>
    </w:rPr>
  </w:style>
  <w:style w:type="paragraph" w:styleId="CommentText">
    <w:name w:val="annotation text"/>
    <w:basedOn w:val="Normal"/>
    <w:link w:val="CommentTextChar"/>
    <w:uiPriority w:val="99"/>
    <w:semiHidden/>
    <w:unhideWhenUsed/>
    <w:rsid w:val="005D6949"/>
    <w:pPr>
      <w:spacing w:line="240" w:lineRule="auto"/>
    </w:pPr>
    <w:rPr>
      <w:sz w:val="20"/>
      <w:szCs w:val="20"/>
    </w:rPr>
  </w:style>
  <w:style w:type="character" w:customStyle="1" w:styleId="CommentTextChar">
    <w:name w:val="Comment Text Char"/>
    <w:basedOn w:val="DefaultParagraphFont"/>
    <w:link w:val="CommentText"/>
    <w:uiPriority w:val="99"/>
    <w:semiHidden/>
    <w:rsid w:val="005D6949"/>
    <w:rPr>
      <w:sz w:val="20"/>
      <w:szCs w:val="20"/>
    </w:rPr>
  </w:style>
  <w:style w:type="paragraph" w:styleId="CommentSubject">
    <w:name w:val="annotation subject"/>
    <w:basedOn w:val="CommentText"/>
    <w:next w:val="CommentText"/>
    <w:link w:val="CommentSubjectChar"/>
    <w:uiPriority w:val="99"/>
    <w:semiHidden/>
    <w:unhideWhenUsed/>
    <w:rsid w:val="005D6949"/>
    <w:rPr>
      <w:b/>
      <w:bCs/>
    </w:rPr>
  </w:style>
  <w:style w:type="character" w:customStyle="1" w:styleId="CommentSubjectChar">
    <w:name w:val="Comment Subject Char"/>
    <w:basedOn w:val="CommentTextChar"/>
    <w:link w:val="CommentSubject"/>
    <w:uiPriority w:val="99"/>
    <w:semiHidden/>
    <w:rsid w:val="005D6949"/>
    <w:rPr>
      <w:b/>
      <w:bCs/>
      <w:sz w:val="20"/>
      <w:szCs w:val="20"/>
    </w:rPr>
  </w:style>
  <w:style w:type="paragraph" w:styleId="BalloonText">
    <w:name w:val="Balloon Text"/>
    <w:basedOn w:val="Normal"/>
    <w:link w:val="BalloonTextChar"/>
    <w:uiPriority w:val="99"/>
    <w:semiHidden/>
    <w:unhideWhenUsed/>
    <w:rsid w:val="005D694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9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EEC"/>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1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B8D"/>
    <w:pPr>
      <w:ind w:left="720"/>
      <w:contextualSpacing/>
    </w:pPr>
  </w:style>
  <w:style w:type="character" w:styleId="Hyperlink">
    <w:name w:val="Hyperlink"/>
    <w:basedOn w:val="DefaultParagraphFont"/>
    <w:uiPriority w:val="99"/>
    <w:semiHidden/>
    <w:unhideWhenUsed/>
    <w:rsid w:val="00C24822"/>
    <w:rPr>
      <w:color w:val="0000FF" w:themeColor="hyperlink"/>
      <w:u w:val="single"/>
    </w:rPr>
  </w:style>
  <w:style w:type="paragraph" w:styleId="NormalWeb">
    <w:name w:val="Normal (Web)"/>
    <w:basedOn w:val="Normal"/>
    <w:uiPriority w:val="99"/>
    <w:semiHidden/>
    <w:unhideWhenUsed/>
    <w:rsid w:val="00C24822"/>
    <w:pPr>
      <w:spacing w:beforeLines="1" w:line="240" w:lineRule="auto"/>
    </w:pPr>
    <w:rPr>
      <w:rFonts w:ascii="Times" w:hAnsi="Times" w:cs="Times New Roman"/>
      <w:sz w:val="20"/>
      <w:szCs w:val="20"/>
    </w:rPr>
  </w:style>
  <w:style w:type="paragraph" w:customStyle="1" w:styleId="Default">
    <w:name w:val="Default"/>
    <w:uiPriority w:val="99"/>
    <w:semiHidden/>
    <w:rsid w:val="00C24822"/>
    <w:pPr>
      <w:widowControl w:val="0"/>
      <w:autoSpaceDE w:val="0"/>
      <w:autoSpaceDN w:val="0"/>
      <w:adjustRightInd w:val="0"/>
      <w:spacing w:beforeLines="1" w:afterLines="1" w:after="0" w:line="240" w:lineRule="auto"/>
    </w:pPr>
    <w:rPr>
      <w:rFonts w:ascii="Calibri" w:hAnsi="Calibri" w:cs="Calibri"/>
      <w:color w:val="000000"/>
      <w:sz w:val="24"/>
      <w:szCs w:val="24"/>
    </w:rPr>
  </w:style>
  <w:style w:type="character" w:styleId="Strong">
    <w:name w:val="Strong"/>
    <w:basedOn w:val="DefaultParagraphFont"/>
    <w:uiPriority w:val="22"/>
    <w:qFormat/>
    <w:rsid w:val="00C24822"/>
    <w:rPr>
      <w:b/>
      <w:bCs/>
    </w:rPr>
  </w:style>
  <w:style w:type="character" w:styleId="Emphasis">
    <w:name w:val="Emphasis"/>
    <w:basedOn w:val="DefaultParagraphFont"/>
    <w:uiPriority w:val="20"/>
    <w:qFormat/>
    <w:rsid w:val="00C24822"/>
    <w:rPr>
      <w:i/>
      <w:iCs/>
    </w:rPr>
  </w:style>
  <w:style w:type="paragraph" w:styleId="Header">
    <w:name w:val="header"/>
    <w:basedOn w:val="Normal"/>
    <w:link w:val="HeaderChar"/>
    <w:uiPriority w:val="99"/>
    <w:unhideWhenUsed/>
    <w:rsid w:val="00DB622F"/>
    <w:pPr>
      <w:tabs>
        <w:tab w:val="center" w:pos="4680"/>
        <w:tab w:val="right" w:pos="9360"/>
      </w:tabs>
      <w:spacing w:line="240" w:lineRule="auto"/>
    </w:pPr>
  </w:style>
  <w:style w:type="character" w:customStyle="1" w:styleId="HeaderChar">
    <w:name w:val="Header Char"/>
    <w:basedOn w:val="DefaultParagraphFont"/>
    <w:link w:val="Header"/>
    <w:uiPriority w:val="99"/>
    <w:rsid w:val="00DB622F"/>
  </w:style>
  <w:style w:type="paragraph" w:styleId="Footer">
    <w:name w:val="footer"/>
    <w:basedOn w:val="Normal"/>
    <w:link w:val="FooterChar"/>
    <w:uiPriority w:val="99"/>
    <w:unhideWhenUsed/>
    <w:rsid w:val="00DB622F"/>
    <w:pPr>
      <w:tabs>
        <w:tab w:val="center" w:pos="4680"/>
        <w:tab w:val="right" w:pos="9360"/>
      </w:tabs>
      <w:spacing w:line="240" w:lineRule="auto"/>
    </w:pPr>
  </w:style>
  <w:style w:type="character" w:customStyle="1" w:styleId="FooterChar">
    <w:name w:val="Footer Char"/>
    <w:basedOn w:val="DefaultParagraphFont"/>
    <w:link w:val="Footer"/>
    <w:uiPriority w:val="99"/>
    <w:rsid w:val="00DB622F"/>
  </w:style>
  <w:style w:type="character" w:styleId="CommentReference">
    <w:name w:val="annotation reference"/>
    <w:basedOn w:val="DefaultParagraphFont"/>
    <w:uiPriority w:val="99"/>
    <w:semiHidden/>
    <w:unhideWhenUsed/>
    <w:rsid w:val="005D6949"/>
    <w:rPr>
      <w:sz w:val="16"/>
      <w:szCs w:val="16"/>
    </w:rPr>
  </w:style>
  <w:style w:type="paragraph" w:styleId="CommentText">
    <w:name w:val="annotation text"/>
    <w:basedOn w:val="Normal"/>
    <w:link w:val="CommentTextChar"/>
    <w:uiPriority w:val="99"/>
    <w:semiHidden/>
    <w:unhideWhenUsed/>
    <w:rsid w:val="005D6949"/>
    <w:pPr>
      <w:spacing w:line="240" w:lineRule="auto"/>
    </w:pPr>
    <w:rPr>
      <w:sz w:val="20"/>
      <w:szCs w:val="20"/>
    </w:rPr>
  </w:style>
  <w:style w:type="character" w:customStyle="1" w:styleId="CommentTextChar">
    <w:name w:val="Comment Text Char"/>
    <w:basedOn w:val="DefaultParagraphFont"/>
    <w:link w:val="CommentText"/>
    <w:uiPriority w:val="99"/>
    <w:semiHidden/>
    <w:rsid w:val="005D6949"/>
    <w:rPr>
      <w:sz w:val="20"/>
      <w:szCs w:val="20"/>
    </w:rPr>
  </w:style>
  <w:style w:type="paragraph" w:styleId="CommentSubject">
    <w:name w:val="annotation subject"/>
    <w:basedOn w:val="CommentText"/>
    <w:next w:val="CommentText"/>
    <w:link w:val="CommentSubjectChar"/>
    <w:uiPriority w:val="99"/>
    <w:semiHidden/>
    <w:unhideWhenUsed/>
    <w:rsid w:val="005D6949"/>
    <w:rPr>
      <w:b/>
      <w:bCs/>
    </w:rPr>
  </w:style>
  <w:style w:type="character" w:customStyle="1" w:styleId="CommentSubjectChar">
    <w:name w:val="Comment Subject Char"/>
    <w:basedOn w:val="CommentTextChar"/>
    <w:link w:val="CommentSubject"/>
    <w:uiPriority w:val="99"/>
    <w:semiHidden/>
    <w:rsid w:val="005D6949"/>
    <w:rPr>
      <w:b/>
      <w:bCs/>
      <w:sz w:val="20"/>
      <w:szCs w:val="20"/>
    </w:rPr>
  </w:style>
  <w:style w:type="paragraph" w:styleId="BalloonText">
    <w:name w:val="Balloon Text"/>
    <w:basedOn w:val="Normal"/>
    <w:link w:val="BalloonTextChar"/>
    <w:uiPriority w:val="99"/>
    <w:semiHidden/>
    <w:unhideWhenUsed/>
    <w:rsid w:val="005D694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9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2546">
      <w:bodyDiv w:val="1"/>
      <w:marLeft w:val="0"/>
      <w:marRight w:val="0"/>
      <w:marTop w:val="0"/>
      <w:marBottom w:val="0"/>
      <w:divBdr>
        <w:top w:val="none" w:sz="0" w:space="0" w:color="auto"/>
        <w:left w:val="none" w:sz="0" w:space="0" w:color="auto"/>
        <w:bottom w:val="none" w:sz="0" w:space="0" w:color="auto"/>
        <w:right w:val="none" w:sz="0" w:space="0" w:color="auto"/>
      </w:divBdr>
    </w:div>
    <w:div w:id="45762851">
      <w:bodyDiv w:val="1"/>
      <w:marLeft w:val="0"/>
      <w:marRight w:val="0"/>
      <w:marTop w:val="0"/>
      <w:marBottom w:val="0"/>
      <w:divBdr>
        <w:top w:val="none" w:sz="0" w:space="0" w:color="auto"/>
        <w:left w:val="none" w:sz="0" w:space="0" w:color="auto"/>
        <w:bottom w:val="none" w:sz="0" w:space="0" w:color="auto"/>
        <w:right w:val="none" w:sz="0" w:space="0" w:color="auto"/>
      </w:divBdr>
    </w:div>
    <w:div w:id="384766045">
      <w:bodyDiv w:val="1"/>
      <w:marLeft w:val="0"/>
      <w:marRight w:val="0"/>
      <w:marTop w:val="0"/>
      <w:marBottom w:val="0"/>
      <w:divBdr>
        <w:top w:val="none" w:sz="0" w:space="0" w:color="auto"/>
        <w:left w:val="none" w:sz="0" w:space="0" w:color="auto"/>
        <w:bottom w:val="none" w:sz="0" w:space="0" w:color="auto"/>
        <w:right w:val="none" w:sz="0" w:space="0" w:color="auto"/>
      </w:divBdr>
    </w:div>
    <w:div w:id="510336461">
      <w:bodyDiv w:val="1"/>
      <w:marLeft w:val="0"/>
      <w:marRight w:val="0"/>
      <w:marTop w:val="0"/>
      <w:marBottom w:val="0"/>
      <w:divBdr>
        <w:top w:val="none" w:sz="0" w:space="0" w:color="auto"/>
        <w:left w:val="none" w:sz="0" w:space="0" w:color="auto"/>
        <w:bottom w:val="none" w:sz="0" w:space="0" w:color="auto"/>
        <w:right w:val="none" w:sz="0" w:space="0" w:color="auto"/>
      </w:divBdr>
    </w:div>
    <w:div w:id="544216275">
      <w:bodyDiv w:val="1"/>
      <w:marLeft w:val="0"/>
      <w:marRight w:val="0"/>
      <w:marTop w:val="0"/>
      <w:marBottom w:val="0"/>
      <w:divBdr>
        <w:top w:val="none" w:sz="0" w:space="0" w:color="auto"/>
        <w:left w:val="none" w:sz="0" w:space="0" w:color="auto"/>
        <w:bottom w:val="none" w:sz="0" w:space="0" w:color="auto"/>
        <w:right w:val="none" w:sz="0" w:space="0" w:color="auto"/>
      </w:divBdr>
    </w:div>
    <w:div w:id="792484289">
      <w:bodyDiv w:val="1"/>
      <w:marLeft w:val="0"/>
      <w:marRight w:val="0"/>
      <w:marTop w:val="0"/>
      <w:marBottom w:val="0"/>
      <w:divBdr>
        <w:top w:val="none" w:sz="0" w:space="0" w:color="auto"/>
        <w:left w:val="none" w:sz="0" w:space="0" w:color="auto"/>
        <w:bottom w:val="none" w:sz="0" w:space="0" w:color="auto"/>
        <w:right w:val="none" w:sz="0" w:space="0" w:color="auto"/>
      </w:divBdr>
    </w:div>
    <w:div w:id="1607157870">
      <w:bodyDiv w:val="1"/>
      <w:marLeft w:val="0"/>
      <w:marRight w:val="0"/>
      <w:marTop w:val="0"/>
      <w:marBottom w:val="0"/>
      <w:divBdr>
        <w:top w:val="none" w:sz="0" w:space="0" w:color="auto"/>
        <w:left w:val="none" w:sz="0" w:space="0" w:color="auto"/>
        <w:bottom w:val="none" w:sz="0" w:space="0" w:color="auto"/>
        <w:right w:val="none" w:sz="0" w:space="0" w:color="auto"/>
      </w:divBdr>
    </w:div>
    <w:div w:id="209284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1B5C3-7020-41C5-98BA-2DA43F709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1608</Words>
  <Characters>9170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Widener University</Company>
  <LinksUpToDate>false</LinksUpToDate>
  <CharactersWithSpaces>10757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widener</cp:lastModifiedBy>
  <cp:revision>3</cp:revision>
  <dcterms:created xsi:type="dcterms:W3CDTF">2014-10-28T16:49:00Z</dcterms:created>
  <dcterms:modified xsi:type="dcterms:W3CDTF">2014-10-28T16:52:00Z</dcterms:modified>
</cp:coreProperties>
</file>