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115F5" w14:textId="491A0D35" w:rsidR="00F82732" w:rsidRPr="00ED7E22" w:rsidRDefault="000C1D08" w:rsidP="000C1D08">
      <w:pPr>
        <w:jc w:val="center"/>
        <w:rPr>
          <w:rFonts w:ascii="Aharoni" w:hAnsi="Aharoni" w:cs="Aharoni"/>
          <w:b/>
          <w:color w:val="1F3864" w:themeColor="accent5" w:themeShade="80"/>
          <w:sz w:val="36"/>
          <w:szCs w:val="36"/>
          <w:u w:val="single"/>
        </w:rPr>
      </w:pPr>
      <w:r w:rsidRPr="00ED7E22">
        <w:rPr>
          <w:rFonts w:ascii="Aharoni" w:hAnsi="Aharoni" w:cs="Aharoni"/>
          <w:b/>
          <w:color w:val="1F3864" w:themeColor="accent5" w:themeShade="80"/>
          <w:sz w:val="36"/>
          <w:szCs w:val="36"/>
          <w:u w:val="single"/>
        </w:rPr>
        <w:t>Drug</w:t>
      </w:r>
      <w:r w:rsidR="00C57168">
        <w:rPr>
          <w:rFonts w:ascii="Aharoni" w:hAnsi="Aharoni" w:cs="Aharoni"/>
          <w:b/>
          <w:color w:val="1F3864" w:themeColor="accent5" w:themeShade="80"/>
          <w:sz w:val="36"/>
          <w:szCs w:val="36"/>
          <w:u w:val="single"/>
        </w:rPr>
        <w:t>s</w:t>
      </w:r>
      <w:r w:rsidRPr="00ED7E22">
        <w:rPr>
          <w:rFonts w:ascii="Aharoni" w:hAnsi="Aharoni" w:cs="Aharoni"/>
          <w:b/>
          <w:color w:val="1F3864" w:themeColor="accent5" w:themeShade="80"/>
          <w:sz w:val="36"/>
          <w:szCs w:val="36"/>
          <w:u w:val="single"/>
        </w:rPr>
        <w:t xml:space="preserve"> </w:t>
      </w:r>
    </w:p>
    <w:p w14:paraId="0123BFEF" w14:textId="77777777" w:rsidR="000C1D08" w:rsidRDefault="000C1D08"/>
    <w:p w14:paraId="5386E2E1" w14:textId="48F69121" w:rsidR="000C1D08" w:rsidRDefault="00C57168">
      <w:r>
        <w:t>The animal should be identified and ID should be recorded along with the weight.</w:t>
      </w:r>
    </w:p>
    <w:p w14:paraId="2CBCA53F" w14:textId="5E173DD3" w:rsidR="00520EEB" w:rsidRDefault="00C57168">
      <w:r>
        <w:t>When doing a</w:t>
      </w:r>
      <w:r w:rsidR="009E6BC9">
        <w:t xml:space="preserve">n </w:t>
      </w:r>
      <w:proofErr w:type="gramStart"/>
      <w:r w:rsidR="009E6BC9">
        <w:t>Abdominal</w:t>
      </w:r>
      <w:proofErr w:type="gramEnd"/>
      <w:r w:rsidR="009E6BC9">
        <w:t xml:space="preserve"> surgery </w:t>
      </w:r>
      <w:r>
        <w:t>the animal should be sedated</w:t>
      </w:r>
      <w:r w:rsidR="00854DF3">
        <w:t xml:space="preserve"> using </w:t>
      </w:r>
      <w:proofErr w:type="spellStart"/>
      <w:r w:rsidR="00854DF3">
        <w:t>xylazine</w:t>
      </w:r>
      <w:proofErr w:type="spellEnd"/>
      <w:r w:rsidR="00854DF3">
        <w:t xml:space="preserve"> 2%</w:t>
      </w:r>
      <w:r w:rsidR="009E6BC9">
        <w:t xml:space="preserve"> in some cases of performing rectal prolapse or placed under general anesthesia</w:t>
      </w:r>
      <w:r w:rsidR="00854DF3">
        <w:t xml:space="preserve">. </w:t>
      </w:r>
      <w:r w:rsidR="009E6BC9">
        <w:t xml:space="preserve">Caudal </w:t>
      </w:r>
      <w:proofErr w:type="spellStart"/>
      <w:r w:rsidR="009E6BC9">
        <w:t>epidual</w:t>
      </w:r>
      <w:proofErr w:type="spellEnd"/>
      <w:r w:rsidR="009E6BC9">
        <w:t xml:space="preserve"> nerve </w:t>
      </w:r>
      <w:r>
        <w:t>blocks should be done using the right technique, drug and drug dosage for that particular animal</w:t>
      </w:r>
      <w:r w:rsidR="00854DF3">
        <w:t xml:space="preserve"> (see nerve blocking doc for information)</w:t>
      </w:r>
      <w:r>
        <w:t>. NSAIDs can also be given to minimize inflammat</w:t>
      </w:r>
      <w:r w:rsidR="009E6BC9">
        <w:t>ion and provide analgesia</w:t>
      </w:r>
      <w:r>
        <w:t>. Antibiotic therapy should also be implemented to minimize the risk of infection.</w:t>
      </w:r>
      <w:r w:rsidR="009E6BC9">
        <w:t xml:space="preserve"> N.B a </w:t>
      </w:r>
      <w:proofErr w:type="spellStart"/>
      <w:r w:rsidR="009E6BC9">
        <w:t>braod</w:t>
      </w:r>
      <w:proofErr w:type="spellEnd"/>
      <w:r w:rsidR="009E6BC9">
        <w:t xml:space="preserve"> spectrum antibiotic should be used such as one of the </w:t>
      </w:r>
      <w:proofErr w:type="spellStart"/>
      <w:r w:rsidR="009E6BC9" w:rsidRPr="009E6BC9">
        <w:t>cephalosporins</w:t>
      </w:r>
      <w:proofErr w:type="spellEnd"/>
      <w:r w:rsidR="009E6BC9" w:rsidRPr="009E6BC9">
        <w:t xml:space="preserve"> (cefazolin, 20 mg/kg IV)</w:t>
      </w:r>
    </w:p>
    <w:p w14:paraId="5C1C386D" w14:textId="77777777" w:rsidR="002713C0" w:rsidRDefault="002713C0">
      <w:pPr>
        <w:rPr>
          <w:rFonts w:eastAsiaTheme="minorEastAsia"/>
          <w:color w:val="FF0000"/>
        </w:rPr>
      </w:pPr>
      <w:r w:rsidRPr="00ED7E22">
        <w:rPr>
          <w:color w:val="FF0000"/>
        </w:rPr>
        <w:t>Formula: VOLUME (mL</w:t>
      </w:r>
      <w:proofErr w:type="gramStart"/>
      <w:r w:rsidRPr="00ED7E22">
        <w:rPr>
          <w:color w:val="FF0000"/>
        </w:rPr>
        <w:t>)=</w:t>
      </w:r>
      <w:proofErr w:type="gramEnd"/>
      <w:r w:rsidRPr="00ED7E22">
        <w:rPr>
          <w:color w:val="FF000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 xml:space="preserve">Dosage of drug </m:t>
            </m:r>
            <m:f>
              <m:f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</w:rPr>
                  <m:t>MG</m:t>
                </m:r>
              </m:num>
              <m:den>
                <m:r>
                  <w:rPr>
                    <w:rFonts w:ascii="Cambria Math" w:hAnsi="Cambria Math"/>
                    <w:color w:val="FF0000"/>
                  </w:rPr>
                  <m:t>KG</m:t>
                </m:r>
              </m:den>
            </m:f>
            <m:r>
              <w:rPr>
                <w:rFonts w:ascii="Cambria Math" w:hAnsi="Cambria Math"/>
                <w:color w:val="FF0000"/>
              </w:rPr>
              <m:t xml:space="preserve">xWeight of animal </m:t>
            </m:r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</w:rPr>
                  <m:t>KG</m:t>
                </m:r>
              </m:e>
            </m:d>
          </m:num>
          <m:den>
            <m:r>
              <w:rPr>
                <w:rFonts w:ascii="Cambria Math" w:hAnsi="Cambria Math"/>
                <w:color w:val="FF0000"/>
              </w:rPr>
              <m:t xml:space="preserve">Cncentration of drug </m:t>
            </m:r>
            <m:f>
              <m:f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</w:rPr>
                  <m:t>mg</m:t>
                </m:r>
              </m:num>
              <m:den>
                <m:r>
                  <w:rPr>
                    <w:rFonts w:ascii="Cambria Math" w:hAnsi="Cambria Math"/>
                    <w:color w:val="FF0000"/>
                  </w:rPr>
                  <m:t>mL</m:t>
                </m:r>
              </m:den>
            </m:f>
          </m:den>
        </m:f>
      </m:oMath>
    </w:p>
    <w:p w14:paraId="4A013781" w14:textId="77777777" w:rsidR="00854DF3" w:rsidRPr="00ED7E22" w:rsidRDefault="00854DF3">
      <w:pPr>
        <w:rPr>
          <w:color w:val="FF000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1567"/>
        <w:gridCol w:w="1583"/>
        <w:gridCol w:w="1530"/>
        <w:gridCol w:w="1963"/>
        <w:gridCol w:w="1277"/>
        <w:gridCol w:w="18"/>
      </w:tblGrid>
      <w:tr w:rsidR="00854DF3" w:rsidRPr="00ED7E22" w14:paraId="47E3C54C" w14:textId="77777777" w:rsidTr="00854DF3">
        <w:tc>
          <w:tcPr>
            <w:tcW w:w="1368" w:type="dxa"/>
          </w:tcPr>
          <w:p w14:paraId="41ADA5EF" w14:textId="77777777" w:rsidR="00854DF3" w:rsidRPr="00ED7E22" w:rsidRDefault="00854DF3">
            <w:pPr>
              <w:rPr>
                <w:b/>
              </w:rPr>
            </w:pPr>
            <w:r w:rsidRPr="00ED7E22">
              <w:rPr>
                <w:b/>
              </w:rPr>
              <w:t>Drug</w:t>
            </w:r>
          </w:p>
        </w:tc>
        <w:tc>
          <w:tcPr>
            <w:tcW w:w="1567" w:type="dxa"/>
          </w:tcPr>
          <w:p w14:paraId="3DC390B9" w14:textId="77777777" w:rsidR="00854DF3" w:rsidRPr="00ED7E22" w:rsidRDefault="00854DF3">
            <w:pPr>
              <w:rPr>
                <w:b/>
              </w:rPr>
            </w:pPr>
            <w:r w:rsidRPr="00ED7E22">
              <w:rPr>
                <w:b/>
              </w:rPr>
              <w:t>Concentration</w:t>
            </w:r>
          </w:p>
        </w:tc>
        <w:tc>
          <w:tcPr>
            <w:tcW w:w="1583" w:type="dxa"/>
          </w:tcPr>
          <w:p w14:paraId="1293ED50" w14:textId="77777777" w:rsidR="00854DF3" w:rsidRPr="00ED7E22" w:rsidRDefault="00854DF3">
            <w:pPr>
              <w:rPr>
                <w:b/>
              </w:rPr>
            </w:pPr>
            <w:r w:rsidRPr="00ED7E22">
              <w:rPr>
                <w:b/>
              </w:rPr>
              <w:t xml:space="preserve">Dose Rate and Route </w:t>
            </w:r>
          </w:p>
        </w:tc>
        <w:tc>
          <w:tcPr>
            <w:tcW w:w="1530" w:type="dxa"/>
          </w:tcPr>
          <w:p w14:paraId="40345851" w14:textId="77777777" w:rsidR="00854DF3" w:rsidRPr="00ED7E22" w:rsidRDefault="00854DF3">
            <w:pPr>
              <w:rPr>
                <w:b/>
              </w:rPr>
            </w:pPr>
            <w:r w:rsidRPr="00ED7E22">
              <w:rPr>
                <w:b/>
              </w:rPr>
              <w:t>Indications</w:t>
            </w:r>
          </w:p>
        </w:tc>
        <w:tc>
          <w:tcPr>
            <w:tcW w:w="1963" w:type="dxa"/>
          </w:tcPr>
          <w:p w14:paraId="332CF69D" w14:textId="77777777" w:rsidR="00854DF3" w:rsidRPr="00ED7E22" w:rsidRDefault="00854DF3">
            <w:pPr>
              <w:rPr>
                <w:b/>
              </w:rPr>
            </w:pPr>
            <w:r>
              <w:rPr>
                <w:b/>
              </w:rPr>
              <w:t>Contra Indications</w:t>
            </w:r>
          </w:p>
        </w:tc>
        <w:tc>
          <w:tcPr>
            <w:tcW w:w="1295" w:type="dxa"/>
            <w:gridSpan w:val="2"/>
          </w:tcPr>
          <w:p w14:paraId="5EFDC10C" w14:textId="77777777" w:rsidR="00854DF3" w:rsidRPr="00ED7E22" w:rsidRDefault="00854DF3">
            <w:pPr>
              <w:rPr>
                <w:b/>
              </w:rPr>
            </w:pPr>
            <w:r w:rsidRPr="00ED7E22">
              <w:rPr>
                <w:b/>
              </w:rPr>
              <w:t xml:space="preserve">Withdrawal time </w:t>
            </w:r>
          </w:p>
        </w:tc>
      </w:tr>
      <w:tr w:rsidR="00A61754" w:rsidRPr="00ED7E22" w14:paraId="20860BDC" w14:textId="77777777" w:rsidTr="00854DF3">
        <w:trPr>
          <w:gridAfter w:val="1"/>
          <w:wAfter w:w="18" w:type="dxa"/>
        </w:trPr>
        <w:tc>
          <w:tcPr>
            <w:tcW w:w="9288" w:type="dxa"/>
            <w:gridSpan w:val="6"/>
            <w:shd w:val="clear" w:color="auto" w:fill="BDD6EE" w:themeFill="accent1" w:themeFillTint="66"/>
          </w:tcPr>
          <w:p w14:paraId="0814C995" w14:textId="77777777" w:rsidR="00A61754" w:rsidRPr="00ED7E22" w:rsidRDefault="00A61754" w:rsidP="00F82732">
            <w:pPr>
              <w:jc w:val="center"/>
              <w:rPr>
                <w:b/>
              </w:rPr>
            </w:pPr>
            <w:r>
              <w:rPr>
                <w:b/>
              </w:rPr>
              <w:t>Sedatives</w:t>
            </w:r>
          </w:p>
        </w:tc>
      </w:tr>
      <w:tr w:rsidR="00854DF3" w14:paraId="67369A17" w14:textId="77777777" w:rsidTr="00854DF3">
        <w:tc>
          <w:tcPr>
            <w:tcW w:w="1368" w:type="dxa"/>
            <w:shd w:val="clear" w:color="auto" w:fill="BDD6EE" w:themeFill="accent1" w:themeFillTint="66"/>
          </w:tcPr>
          <w:p w14:paraId="5181A946" w14:textId="77777777" w:rsidR="00854DF3" w:rsidRDefault="00854DF3">
            <w:proofErr w:type="spellStart"/>
            <w:r>
              <w:t>Xylazine</w:t>
            </w:r>
            <w:proofErr w:type="spellEnd"/>
            <w:r>
              <w:t xml:space="preserve"> 2%</w:t>
            </w:r>
          </w:p>
        </w:tc>
        <w:tc>
          <w:tcPr>
            <w:tcW w:w="1567" w:type="dxa"/>
            <w:shd w:val="clear" w:color="auto" w:fill="BDD6EE" w:themeFill="accent1" w:themeFillTint="66"/>
          </w:tcPr>
          <w:p w14:paraId="7647BEAA" w14:textId="77777777" w:rsidR="00854DF3" w:rsidRDefault="00854DF3">
            <w:r>
              <w:t>20mg/ml</w:t>
            </w:r>
          </w:p>
        </w:tc>
        <w:tc>
          <w:tcPr>
            <w:tcW w:w="1583" w:type="dxa"/>
            <w:shd w:val="clear" w:color="auto" w:fill="BDD6EE" w:themeFill="accent1" w:themeFillTint="66"/>
          </w:tcPr>
          <w:p w14:paraId="396A709A" w14:textId="7F5B5E80" w:rsidR="00854DF3" w:rsidRDefault="00854DF3">
            <w:r>
              <w:t>0.025mg/kg Intravenous</w:t>
            </w:r>
          </w:p>
        </w:tc>
        <w:tc>
          <w:tcPr>
            <w:tcW w:w="1530" w:type="dxa"/>
            <w:shd w:val="clear" w:color="auto" w:fill="BDD6EE" w:themeFill="accent1" w:themeFillTint="66"/>
          </w:tcPr>
          <w:p w14:paraId="0318972F" w14:textId="77777777" w:rsidR="00854DF3" w:rsidRDefault="00854DF3">
            <w:r>
              <w:t>Sedative</w:t>
            </w:r>
          </w:p>
        </w:tc>
        <w:tc>
          <w:tcPr>
            <w:tcW w:w="1963" w:type="dxa"/>
            <w:shd w:val="clear" w:color="auto" w:fill="BDD6EE" w:themeFill="accent1" w:themeFillTint="66"/>
          </w:tcPr>
          <w:p w14:paraId="616C859E" w14:textId="73C68B4C" w:rsidR="00854DF3" w:rsidRDefault="00854DF3">
            <w:r>
              <w:t xml:space="preserve">Do not use in later stages of pregnancy, cases with </w:t>
            </w:r>
            <w:proofErr w:type="spellStart"/>
            <w:r>
              <w:t>oesophageal</w:t>
            </w:r>
            <w:proofErr w:type="spellEnd"/>
            <w:r>
              <w:t xml:space="preserve"> obstruction or stomach torsion, hepatic failure, renal failure, cardiac abnormalities, urethral obstruction calves younger than 2 weeks.</w:t>
            </w:r>
          </w:p>
        </w:tc>
        <w:tc>
          <w:tcPr>
            <w:tcW w:w="1295" w:type="dxa"/>
            <w:gridSpan w:val="2"/>
            <w:shd w:val="clear" w:color="auto" w:fill="BDD6EE" w:themeFill="accent1" w:themeFillTint="66"/>
          </w:tcPr>
          <w:p w14:paraId="1B4EEA4D" w14:textId="77777777" w:rsidR="00854DF3" w:rsidRDefault="00854DF3">
            <w:r w:rsidRPr="005D08A6">
              <w:rPr>
                <w:b/>
              </w:rPr>
              <w:t>Meat:</w:t>
            </w:r>
            <w:r>
              <w:t xml:space="preserve"> 48 hours</w:t>
            </w:r>
          </w:p>
          <w:p w14:paraId="3D7F45AB" w14:textId="77777777" w:rsidR="00854DF3" w:rsidRDefault="00854DF3">
            <w:r w:rsidRPr="005D08A6">
              <w:rPr>
                <w:b/>
              </w:rPr>
              <w:t xml:space="preserve">Milk: </w:t>
            </w:r>
            <w:r>
              <w:t>14 days</w:t>
            </w:r>
          </w:p>
          <w:p w14:paraId="56A085B7" w14:textId="77777777" w:rsidR="00854DF3" w:rsidRDefault="00854DF3"/>
        </w:tc>
      </w:tr>
      <w:tr w:rsidR="00A61754" w14:paraId="1DC43437" w14:textId="77777777" w:rsidTr="00854DF3">
        <w:trPr>
          <w:gridAfter w:val="1"/>
          <w:wAfter w:w="18" w:type="dxa"/>
        </w:trPr>
        <w:tc>
          <w:tcPr>
            <w:tcW w:w="9288" w:type="dxa"/>
            <w:gridSpan w:val="6"/>
            <w:shd w:val="clear" w:color="auto" w:fill="C5E0B3" w:themeFill="accent6" w:themeFillTint="66"/>
          </w:tcPr>
          <w:p w14:paraId="34C251AD" w14:textId="77777777" w:rsidR="00A61754" w:rsidRPr="00F82732" w:rsidRDefault="00A61754" w:rsidP="00F82732">
            <w:pPr>
              <w:jc w:val="center"/>
              <w:rPr>
                <w:b/>
              </w:rPr>
            </w:pPr>
            <w:r>
              <w:rPr>
                <w:b/>
              </w:rPr>
              <w:t xml:space="preserve">Local  </w:t>
            </w:r>
            <w:proofErr w:type="spellStart"/>
            <w:r>
              <w:rPr>
                <w:b/>
              </w:rPr>
              <w:t>Anaesthetics</w:t>
            </w:r>
            <w:proofErr w:type="spellEnd"/>
          </w:p>
        </w:tc>
      </w:tr>
      <w:tr w:rsidR="00854DF3" w14:paraId="505D46D4" w14:textId="77777777" w:rsidTr="00854DF3">
        <w:tc>
          <w:tcPr>
            <w:tcW w:w="1368" w:type="dxa"/>
            <w:shd w:val="clear" w:color="auto" w:fill="C5E0B3" w:themeFill="accent6" w:themeFillTint="66"/>
          </w:tcPr>
          <w:p w14:paraId="0B13D7B5" w14:textId="77777777" w:rsidR="00854DF3" w:rsidRDefault="00854DF3" w:rsidP="005D08A6">
            <w:r>
              <w:t>Lidocaine 2%</w:t>
            </w:r>
          </w:p>
        </w:tc>
        <w:tc>
          <w:tcPr>
            <w:tcW w:w="1567" w:type="dxa"/>
            <w:shd w:val="clear" w:color="auto" w:fill="C5E0B3" w:themeFill="accent6" w:themeFillTint="66"/>
          </w:tcPr>
          <w:p w14:paraId="1346F74D" w14:textId="77777777" w:rsidR="00854DF3" w:rsidRDefault="00854DF3" w:rsidP="005D08A6">
            <w:r>
              <w:t>20mg/ml</w:t>
            </w:r>
          </w:p>
        </w:tc>
        <w:tc>
          <w:tcPr>
            <w:tcW w:w="1583" w:type="dxa"/>
            <w:shd w:val="clear" w:color="auto" w:fill="C5E0B3" w:themeFill="accent6" w:themeFillTint="66"/>
          </w:tcPr>
          <w:p w14:paraId="6F45607F" w14:textId="77777777" w:rsidR="00854DF3" w:rsidRDefault="00854DF3" w:rsidP="005D08A6">
            <w:r>
              <w:t>0.2mg/kg</w:t>
            </w:r>
          </w:p>
          <w:p w14:paraId="2489EF76" w14:textId="5393DCCD" w:rsidR="00854DF3" w:rsidRDefault="00854DF3" w:rsidP="005D08A6">
            <w:r>
              <w:t>Intramuscular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22DAD268" w14:textId="77777777" w:rsidR="00854DF3" w:rsidRDefault="00854DF3" w:rsidP="005D08A6">
            <w:r>
              <w:t xml:space="preserve">Local </w:t>
            </w:r>
            <w:proofErr w:type="spellStart"/>
            <w:r>
              <w:t>anaesthetic</w:t>
            </w:r>
            <w:proofErr w:type="spellEnd"/>
            <w:r>
              <w:t xml:space="preserve"> </w:t>
            </w:r>
          </w:p>
          <w:p w14:paraId="3FC6938F" w14:textId="77777777" w:rsidR="00854DF3" w:rsidRDefault="00854DF3" w:rsidP="005D08A6"/>
          <w:p w14:paraId="40179C22" w14:textId="77777777" w:rsidR="00854DF3" w:rsidRDefault="00854DF3" w:rsidP="005D08A6"/>
          <w:p w14:paraId="64CD8D41" w14:textId="77777777" w:rsidR="00854DF3" w:rsidRDefault="00854DF3" w:rsidP="005D08A6"/>
          <w:p w14:paraId="3CB0ECB3" w14:textId="77777777" w:rsidR="00854DF3" w:rsidRDefault="00854DF3" w:rsidP="005D08A6"/>
          <w:p w14:paraId="6A75730E" w14:textId="77777777" w:rsidR="00854DF3" w:rsidRDefault="00854DF3" w:rsidP="005D08A6"/>
          <w:p w14:paraId="36CBCCBC" w14:textId="77777777" w:rsidR="00854DF3" w:rsidRDefault="00854DF3" w:rsidP="005D08A6"/>
          <w:p w14:paraId="4E60E349" w14:textId="77777777" w:rsidR="00854DF3" w:rsidRDefault="00854DF3" w:rsidP="005D08A6"/>
        </w:tc>
        <w:tc>
          <w:tcPr>
            <w:tcW w:w="1963" w:type="dxa"/>
            <w:shd w:val="clear" w:color="auto" w:fill="C5E0B3" w:themeFill="accent6" w:themeFillTint="66"/>
          </w:tcPr>
          <w:p w14:paraId="75FC5583" w14:textId="4A58AF0F" w:rsidR="00854DF3" w:rsidRDefault="00854DF3" w:rsidP="005D08A6">
            <w:r>
              <w:t xml:space="preserve">Do not use in animals with known hypersensitivity </w:t>
            </w:r>
          </w:p>
        </w:tc>
        <w:tc>
          <w:tcPr>
            <w:tcW w:w="1295" w:type="dxa"/>
            <w:gridSpan w:val="2"/>
            <w:shd w:val="clear" w:color="auto" w:fill="C5E0B3" w:themeFill="accent6" w:themeFillTint="66"/>
          </w:tcPr>
          <w:p w14:paraId="6C69754D" w14:textId="77777777" w:rsidR="00854DF3" w:rsidRDefault="00854DF3" w:rsidP="005D08A6">
            <w:r w:rsidRPr="005D08A6">
              <w:rPr>
                <w:b/>
              </w:rPr>
              <w:t>Meat</w:t>
            </w:r>
            <w:r>
              <w:t>: 1 day</w:t>
            </w:r>
          </w:p>
          <w:p w14:paraId="24C60EC6" w14:textId="77777777" w:rsidR="00854DF3" w:rsidRDefault="00854DF3" w:rsidP="005D08A6"/>
          <w:p w14:paraId="5D3188E3" w14:textId="77777777" w:rsidR="00854DF3" w:rsidRPr="005D08A6" w:rsidRDefault="00854DF3" w:rsidP="005D08A6">
            <w:r>
              <w:rPr>
                <w:b/>
              </w:rPr>
              <w:t xml:space="preserve">Milk: </w:t>
            </w:r>
            <w:r>
              <w:t xml:space="preserve">1 day </w:t>
            </w:r>
          </w:p>
        </w:tc>
      </w:tr>
      <w:tr w:rsidR="005D08A6" w14:paraId="4A173B5A" w14:textId="77777777" w:rsidTr="00854DF3">
        <w:trPr>
          <w:gridAfter w:val="1"/>
          <w:wAfter w:w="18" w:type="dxa"/>
        </w:trPr>
        <w:tc>
          <w:tcPr>
            <w:tcW w:w="9288" w:type="dxa"/>
            <w:gridSpan w:val="6"/>
            <w:shd w:val="clear" w:color="auto" w:fill="FFC000" w:themeFill="accent4"/>
          </w:tcPr>
          <w:p w14:paraId="25730F1B" w14:textId="77777777" w:rsidR="005D08A6" w:rsidRPr="00F82732" w:rsidRDefault="005D08A6" w:rsidP="00F82732">
            <w:pPr>
              <w:jc w:val="center"/>
              <w:rPr>
                <w:b/>
              </w:rPr>
            </w:pPr>
            <w:r w:rsidRPr="00F82732">
              <w:rPr>
                <w:b/>
              </w:rPr>
              <w:t>Non-Steroidal Anti-Inflammatories (NSAIDs)</w:t>
            </w:r>
          </w:p>
        </w:tc>
      </w:tr>
      <w:tr w:rsidR="00854DF3" w14:paraId="2B3D604E" w14:textId="77777777" w:rsidTr="00854DF3">
        <w:tc>
          <w:tcPr>
            <w:tcW w:w="1368" w:type="dxa"/>
            <w:shd w:val="clear" w:color="auto" w:fill="FFC000" w:themeFill="accent4"/>
          </w:tcPr>
          <w:p w14:paraId="784CBC8A" w14:textId="77777777" w:rsidR="00854DF3" w:rsidRDefault="00854DF3" w:rsidP="005D08A6">
            <w:r>
              <w:t>Banamine (</w:t>
            </w:r>
            <w:proofErr w:type="spellStart"/>
            <w:r>
              <w:t>Flunixin</w:t>
            </w:r>
            <w:proofErr w:type="spellEnd"/>
            <w:r>
              <w:t xml:space="preserve"> </w:t>
            </w:r>
            <w:proofErr w:type="spellStart"/>
            <w:r>
              <w:lastRenderedPageBreak/>
              <w:t>Meglumine</w:t>
            </w:r>
            <w:proofErr w:type="spellEnd"/>
            <w:r>
              <w:t>)</w:t>
            </w:r>
          </w:p>
        </w:tc>
        <w:tc>
          <w:tcPr>
            <w:tcW w:w="1567" w:type="dxa"/>
            <w:shd w:val="clear" w:color="auto" w:fill="FFC000" w:themeFill="accent4"/>
          </w:tcPr>
          <w:p w14:paraId="32E9F9F6" w14:textId="77777777" w:rsidR="00854DF3" w:rsidRDefault="00854DF3" w:rsidP="005D08A6">
            <w:r>
              <w:lastRenderedPageBreak/>
              <w:t>50mg/ml</w:t>
            </w:r>
          </w:p>
        </w:tc>
        <w:tc>
          <w:tcPr>
            <w:tcW w:w="1583" w:type="dxa"/>
            <w:shd w:val="clear" w:color="auto" w:fill="FFC000" w:themeFill="accent4"/>
          </w:tcPr>
          <w:p w14:paraId="5D0E60E4" w14:textId="77777777" w:rsidR="00854DF3" w:rsidRDefault="00854DF3" w:rsidP="005D08A6">
            <w:r>
              <w:t xml:space="preserve">1.1mg/kg </w:t>
            </w:r>
          </w:p>
          <w:p w14:paraId="437AC01A" w14:textId="77777777" w:rsidR="00854DF3" w:rsidRDefault="00854DF3" w:rsidP="005D08A6"/>
          <w:p w14:paraId="552727B6" w14:textId="57288953" w:rsidR="00854DF3" w:rsidRDefault="00854DF3" w:rsidP="005D08A6">
            <w:r>
              <w:lastRenderedPageBreak/>
              <w:t>Intravenous</w:t>
            </w:r>
          </w:p>
        </w:tc>
        <w:tc>
          <w:tcPr>
            <w:tcW w:w="1530" w:type="dxa"/>
            <w:shd w:val="clear" w:color="auto" w:fill="FFC000" w:themeFill="accent4"/>
          </w:tcPr>
          <w:p w14:paraId="4943920C" w14:textId="77777777" w:rsidR="00854DF3" w:rsidRDefault="00854DF3" w:rsidP="005D08A6">
            <w:r>
              <w:lastRenderedPageBreak/>
              <w:t>NSAID- analgesia</w:t>
            </w:r>
          </w:p>
        </w:tc>
        <w:tc>
          <w:tcPr>
            <w:tcW w:w="1963" w:type="dxa"/>
            <w:shd w:val="clear" w:color="auto" w:fill="FFC000" w:themeFill="accent4"/>
          </w:tcPr>
          <w:p w14:paraId="60263BD0" w14:textId="338ACE8D" w:rsidR="00854DF3" w:rsidRDefault="00854DF3" w:rsidP="005D08A6">
            <w:r>
              <w:t xml:space="preserve">Do not give to animals with </w:t>
            </w:r>
            <w:r>
              <w:lastRenderedPageBreak/>
              <w:t>gastrointestinal disorders or ulcers. Also do not administer to animals with bleeding disorders such as coagulation issues and platelet function disorders</w:t>
            </w:r>
          </w:p>
          <w:p w14:paraId="4046B478" w14:textId="009876AD" w:rsidR="00854DF3" w:rsidRDefault="00854DF3" w:rsidP="005D08A6"/>
        </w:tc>
        <w:tc>
          <w:tcPr>
            <w:tcW w:w="1295" w:type="dxa"/>
            <w:gridSpan w:val="2"/>
            <w:shd w:val="clear" w:color="auto" w:fill="FFC000" w:themeFill="accent4"/>
          </w:tcPr>
          <w:p w14:paraId="73863ED3" w14:textId="77777777" w:rsidR="00854DF3" w:rsidRDefault="00854DF3" w:rsidP="005D08A6">
            <w:r>
              <w:rPr>
                <w:b/>
              </w:rPr>
              <w:lastRenderedPageBreak/>
              <w:t xml:space="preserve">Meat: </w:t>
            </w:r>
            <w:r>
              <w:t>4 days</w:t>
            </w:r>
          </w:p>
          <w:p w14:paraId="00251FB0" w14:textId="77777777" w:rsidR="00854DF3" w:rsidRPr="007A582C" w:rsidRDefault="00854DF3" w:rsidP="005D08A6">
            <w:r>
              <w:rPr>
                <w:b/>
              </w:rPr>
              <w:lastRenderedPageBreak/>
              <w:t xml:space="preserve">Milk: </w:t>
            </w:r>
            <w:r>
              <w:t>72 hours</w:t>
            </w:r>
          </w:p>
        </w:tc>
      </w:tr>
      <w:tr w:rsidR="005D08A6" w14:paraId="792E500D" w14:textId="77777777" w:rsidTr="00854DF3">
        <w:trPr>
          <w:gridAfter w:val="1"/>
          <w:wAfter w:w="18" w:type="dxa"/>
        </w:trPr>
        <w:tc>
          <w:tcPr>
            <w:tcW w:w="9288" w:type="dxa"/>
            <w:gridSpan w:val="6"/>
            <w:shd w:val="clear" w:color="auto" w:fill="DBDBDB" w:themeFill="accent3" w:themeFillTint="66"/>
          </w:tcPr>
          <w:p w14:paraId="6CA4611C" w14:textId="0BA7E7F8" w:rsidR="005D08A6" w:rsidRPr="00A61754" w:rsidRDefault="00374B3C" w:rsidP="00A6175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Antibiotics</w:t>
            </w:r>
          </w:p>
        </w:tc>
      </w:tr>
      <w:tr w:rsidR="00854DF3" w14:paraId="40B12469" w14:textId="77777777" w:rsidTr="00854DF3">
        <w:trPr>
          <w:trHeight w:val="2060"/>
        </w:trPr>
        <w:tc>
          <w:tcPr>
            <w:tcW w:w="1368" w:type="dxa"/>
            <w:shd w:val="clear" w:color="auto" w:fill="DBDBDB" w:themeFill="accent3" w:themeFillTint="66"/>
          </w:tcPr>
          <w:p w14:paraId="00C1FDAF" w14:textId="2310E5E6" w:rsidR="009E6BC9" w:rsidRDefault="00854DF3" w:rsidP="005D08A6">
            <w:r>
              <w:t>Penicillin-Streptomycin (</w:t>
            </w:r>
            <w:proofErr w:type="spellStart"/>
            <w:r>
              <w:t>PenStrep</w:t>
            </w:r>
            <w:proofErr w:type="spellEnd"/>
            <w:r>
              <w:t>)</w:t>
            </w:r>
          </w:p>
          <w:p w14:paraId="79E1A0F6" w14:textId="77777777" w:rsidR="009E6BC9" w:rsidRPr="009E6BC9" w:rsidRDefault="009E6BC9" w:rsidP="009E6BC9"/>
          <w:p w14:paraId="07ED2072" w14:textId="77777777" w:rsidR="009E6BC9" w:rsidRPr="009E6BC9" w:rsidRDefault="009E6BC9" w:rsidP="009E6BC9"/>
          <w:p w14:paraId="0AB5620C" w14:textId="77777777" w:rsidR="009E6BC9" w:rsidRPr="009E6BC9" w:rsidRDefault="009E6BC9" w:rsidP="009E6BC9"/>
          <w:p w14:paraId="05C15BE9" w14:textId="77777777" w:rsidR="009E6BC9" w:rsidRPr="009E6BC9" w:rsidRDefault="009E6BC9" w:rsidP="009E6BC9"/>
          <w:p w14:paraId="3630572D" w14:textId="77777777" w:rsidR="009E6BC9" w:rsidRPr="009E6BC9" w:rsidRDefault="009E6BC9" w:rsidP="009E6BC9"/>
          <w:p w14:paraId="7EF749D9" w14:textId="77777777" w:rsidR="009E6BC9" w:rsidRPr="009E6BC9" w:rsidRDefault="009E6BC9" w:rsidP="009E6BC9"/>
          <w:p w14:paraId="5A5074D5" w14:textId="6FD90157" w:rsidR="009E6BC9" w:rsidRDefault="009E6BC9" w:rsidP="009E6BC9"/>
          <w:p w14:paraId="36616818" w14:textId="77777777" w:rsidR="009E6BC9" w:rsidRPr="009E6BC9" w:rsidRDefault="009E6BC9" w:rsidP="009E6BC9"/>
          <w:p w14:paraId="11A41BA8" w14:textId="77777777" w:rsidR="009E6BC9" w:rsidRPr="009E6BC9" w:rsidRDefault="009E6BC9" w:rsidP="009E6BC9"/>
          <w:p w14:paraId="73155C04" w14:textId="5FC5ABAF" w:rsidR="009E6BC9" w:rsidRDefault="009E6BC9" w:rsidP="009E6BC9"/>
          <w:p w14:paraId="3D58467F" w14:textId="7E953B84" w:rsidR="009E6BC9" w:rsidRDefault="009E6BC9" w:rsidP="009E6BC9"/>
          <w:p w14:paraId="698AFE16" w14:textId="77777777" w:rsidR="00854DF3" w:rsidRDefault="00854DF3" w:rsidP="009E6BC9">
            <w:pPr>
              <w:jc w:val="center"/>
            </w:pPr>
          </w:p>
          <w:p w14:paraId="3E193ECC" w14:textId="5468EDF4" w:rsidR="009E6BC9" w:rsidRPr="009E6BC9" w:rsidRDefault="009E6BC9" w:rsidP="009E6BC9">
            <w:pPr>
              <w:jc w:val="center"/>
            </w:pPr>
            <w:proofErr w:type="spellStart"/>
            <w:r>
              <w:t>Cephlosporins</w:t>
            </w:r>
            <w:proofErr w:type="spellEnd"/>
            <w:r>
              <w:t xml:space="preserve"> (see drug photo for details)</w:t>
            </w:r>
            <w:bookmarkStart w:id="0" w:name="_GoBack"/>
            <w:bookmarkEnd w:id="0"/>
          </w:p>
        </w:tc>
        <w:tc>
          <w:tcPr>
            <w:tcW w:w="1567" w:type="dxa"/>
            <w:shd w:val="clear" w:color="auto" w:fill="DBDBDB" w:themeFill="accent3" w:themeFillTint="66"/>
          </w:tcPr>
          <w:p w14:paraId="2D2DD8E6" w14:textId="77777777" w:rsidR="00854DF3" w:rsidRDefault="00854DF3" w:rsidP="005D08A6">
            <w:r>
              <w:t>200,000 IU</w:t>
            </w:r>
          </w:p>
        </w:tc>
        <w:tc>
          <w:tcPr>
            <w:tcW w:w="1583" w:type="dxa"/>
            <w:shd w:val="clear" w:color="auto" w:fill="DBDBDB" w:themeFill="accent3" w:themeFillTint="66"/>
          </w:tcPr>
          <w:p w14:paraId="492913DD" w14:textId="0EF8C152" w:rsidR="00854DF3" w:rsidRDefault="00854DF3" w:rsidP="005D08A6">
            <w:r>
              <w:t>20,000 IU</w:t>
            </w:r>
          </w:p>
          <w:p w14:paraId="47EBCF8A" w14:textId="77777777" w:rsidR="00854DF3" w:rsidRDefault="00854DF3" w:rsidP="005D08A6"/>
          <w:p w14:paraId="52E6BD7B" w14:textId="3C85BB32" w:rsidR="00854DF3" w:rsidRDefault="00854DF3" w:rsidP="005D08A6">
            <w:r>
              <w:t>intramuscular</w:t>
            </w:r>
          </w:p>
        </w:tc>
        <w:tc>
          <w:tcPr>
            <w:tcW w:w="1530" w:type="dxa"/>
            <w:shd w:val="clear" w:color="auto" w:fill="DBDBDB" w:themeFill="accent3" w:themeFillTint="66"/>
          </w:tcPr>
          <w:p w14:paraId="41E754F1" w14:textId="77777777" w:rsidR="00854DF3" w:rsidRDefault="00854DF3" w:rsidP="005D08A6">
            <w:r>
              <w:t>Antibiotic</w:t>
            </w:r>
          </w:p>
          <w:p w14:paraId="3CABBA25" w14:textId="77777777" w:rsidR="00854DF3" w:rsidRDefault="00854DF3" w:rsidP="005818AC">
            <w:r>
              <w:t xml:space="preserve">Prevention of shipping fever, bronchopneumonia, </w:t>
            </w:r>
            <w:r>
              <w:rPr>
                <w:i/>
              </w:rPr>
              <w:t xml:space="preserve">Corynebacterium </w:t>
            </w:r>
            <w:proofErr w:type="spellStart"/>
            <w:r>
              <w:rPr>
                <w:i/>
              </w:rPr>
              <w:t>renale</w:t>
            </w:r>
            <w:proofErr w:type="spellEnd"/>
            <w:r>
              <w:rPr>
                <w:i/>
              </w:rPr>
              <w:t>, Clostridium</w:t>
            </w:r>
            <w:r>
              <w:t xml:space="preserve"> spp., tetanus among other pathogens and also </w:t>
            </w:r>
            <w:proofErr w:type="spellStart"/>
            <w:r>
              <w:t>post operative</w:t>
            </w:r>
            <w:proofErr w:type="spellEnd"/>
            <w:r>
              <w:t xml:space="preserve"> infections</w:t>
            </w:r>
            <w:r>
              <w:rPr>
                <w:i/>
              </w:rPr>
              <w:t xml:space="preserve"> </w:t>
            </w:r>
          </w:p>
          <w:p w14:paraId="0F10B5C0" w14:textId="44FEDC9F" w:rsidR="009E6BC9" w:rsidRPr="009E6BC9" w:rsidRDefault="009E6BC9" w:rsidP="005818AC"/>
        </w:tc>
        <w:tc>
          <w:tcPr>
            <w:tcW w:w="1963" w:type="dxa"/>
            <w:shd w:val="clear" w:color="auto" w:fill="DBDBDB" w:themeFill="accent3" w:themeFillTint="66"/>
          </w:tcPr>
          <w:p w14:paraId="0F1930A3" w14:textId="6329C96A" w:rsidR="00854DF3" w:rsidRDefault="00854DF3" w:rsidP="005D08A6">
            <w:r>
              <w:t>Do not use intravenously! Do not use in cases where there may be hypersensitivity to any of the components. Also, do not give to animals with renal insufficiency.</w:t>
            </w:r>
          </w:p>
        </w:tc>
        <w:tc>
          <w:tcPr>
            <w:tcW w:w="1295" w:type="dxa"/>
            <w:gridSpan w:val="2"/>
            <w:shd w:val="clear" w:color="auto" w:fill="DBDBDB" w:themeFill="accent3" w:themeFillTint="66"/>
          </w:tcPr>
          <w:p w14:paraId="546BA54C" w14:textId="77777777" w:rsidR="00854DF3" w:rsidRDefault="00854DF3" w:rsidP="005D08A6">
            <w:r>
              <w:t>Meat-23days</w:t>
            </w:r>
          </w:p>
        </w:tc>
      </w:tr>
      <w:tr w:rsidR="005D08A6" w14:paraId="1E2E7ED2" w14:textId="77777777" w:rsidTr="00854DF3">
        <w:trPr>
          <w:gridAfter w:val="1"/>
          <w:wAfter w:w="18" w:type="dxa"/>
        </w:trPr>
        <w:tc>
          <w:tcPr>
            <w:tcW w:w="9288" w:type="dxa"/>
            <w:gridSpan w:val="6"/>
            <w:shd w:val="clear" w:color="auto" w:fill="F4B083" w:themeFill="accent2" w:themeFillTint="99"/>
          </w:tcPr>
          <w:p w14:paraId="66CE94C7" w14:textId="77777777" w:rsidR="005D08A6" w:rsidRPr="005D08A6" w:rsidRDefault="005D08A6" w:rsidP="005D08A6">
            <w:pPr>
              <w:jc w:val="center"/>
              <w:rPr>
                <w:b/>
              </w:rPr>
            </w:pPr>
            <w:r>
              <w:rPr>
                <w:b/>
              </w:rPr>
              <w:t>Emergency Drugs</w:t>
            </w:r>
          </w:p>
        </w:tc>
      </w:tr>
      <w:tr w:rsidR="00854DF3" w14:paraId="69B5727B" w14:textId="77777777" w:rsidTr="00854DF3">
        <w:trPr>
          <w:trHeight w:val="1241"/>
        </w:trPr>
        <w:tc>
          <w:tcPr>
            <w:tcW w:w="1368" w:type="dxa"/>
            <w:shd w:val="clear" w:color="auto" w:fill="F4B083" w:themeFill="accent2" w:themeFillTint="99"/>
          </w:tcPr>
          <w:p w14:paraId="78C400AC" w14:textId="77777777" w:rsidR="00854DF3" w:rsidRDefault="00854DF3" w:rsidP="005D08A6">
            <w:proofErr w:type="spellStart"/>
            <w:r>
              <w:t>Tolazoline</w:t>
            </w:r>
            <w:proofErr w:type="spellEnd"/>
          </w:p>
        </w:tc>
        <w:tc>
          <w:tcPr>
            <w:tcW w:w="1567" w:type="dxa"/>
            <w:shd w:val="clear" w:color="auto" w:fill="F4B083" w:themeFill="accent2" w:themeFillTint="99"/>
          </w:tcPr>
          <w:p w14:paraId="125AC424" w14:textId="77777777" w:rsidR="00854DF3" w:rsidRDefault="00854DF3" w:rsidP="005D08A6">
            <w:r>
              <w:t>100mg/ml</w:t>
            </w:r>
          </w:p>
        </w:tc>
        <w:tc>
          <w:tcPr>
            <w:tcW w:w="1583" w:type="dxa"/>
            <w:shd w:val="clear" w:color="auto" w:fill="F4B083" w:themeFill="accent2" w:themeFillTint="99"/>
          </w:tcPr>
          <w:p w14:paraId="75E9A982" w14:textId="77777777" w:rsidR="00854DF3" w:rsidRDefault="00854DF3" w:rsidP="005D08A6">
            <w:r>
              <w:t>0.05</w:t>
            </w:r>
          </w:p>
          <w:p w14:paraId="3D786D0D" w14:textId="03913D4F" w:rsidR="00854DF3" w:rsidRDefault="00854DF3" w:rsidP="005D08A6">
            <w:r>
              <w:t xml:space="preserve">mg/kg </w:t>
            </w:r>
          </w:p>
          <w:p w14:paraId="3F236415" w14:textId="1F3EA918" w:rsidR="00854DF3" w:rsidRDefault="00854DF3" w:rsidP="005D08A6">
            <w:r>
              <w:t>Intravenous</w:t>
            </w:r>
          </w:p>
        </w:tc>
        <w:tc>
          <w:tcPr>
            <w:tcW w:w="1530" w:type="dxa"/>
            <w:shd w:val="clear" w:color="auto" w:fill="F4B083" w:themeFill="accent2" w:themeFillTint="99"/>
          </w:tcPr>
          <w:p w14:paraId="1E606009" w14:textId="390122EA" w:rsidR="00854DF3" w:rsidRDefault="00854DF3" w:rsidP="005D08A6">
            <w:r>
              <w:t xml:space="preserve">Used when the effects of </w:t>
            </w:r>
            <w:proofErr w:type="spellStart"/>
            <w:r>
              <w:t>xylazine</w:t>
            </w:r>
            <w:proofErr w:type="spellEnd"/>
            <w:r>
              <w:t xml:space="preserve"> need to be reversed.</w:t>
            </w:r>
          </w:p>
        </w:tc>
        <w:tc>
          <w:tcPr>
            <w:tcW w:w="1963" w:type="dxa"/>
            <w:shd w:val="clear" w:color="auto" w:fill="F4B083" w:themeFill="accent2" w:themeFillTint="99"/>
          </w:tcPr>
          <w:p w14:paraId="72510A0A" w14:textId="7BA545F8" w:rsidR="00854DF3" w:rsidRDefault="00854DF3" w:rsidP="005D08A6">
            <w:r>
              <w:t>Do not give to animals showing signs of stress, cardiac disease, shock, hypovolemia</w:t>
            </w:r>
          </w:p>
        </w:tc>
        <w:tc>
          <w:tcPr>
            <w:tcW w:w="1295" w:type="dxa"/>
            <w:gridSpan w:val="2"/>
            <w:shd w:val="clear" w:color="auto" w:fill="F4B083" w:themeFill="accent2" w:themeFillTint="99"/>
          </w:tcPr>
          <w:p w14:paraId="29FB1A7E" w14:textId="747F0AFE" w:rsidR="00854DF3" w:rsidRDefault="00854DF3" w:rsidP="005D08A6">
            <w:r w:rsidRPr="00374B3C">
              <w:rPr>
                <w:b/>
              </w:rPr>
              <w:t>Meat:</w:t>
            </w:r>
            <w:r>
              <w:t xml:space="preserve"> 30 </w:t>
            </w:r>
          </w:p>
          <w:p w14:paraId="0E7A2891" w14:textId="77777777" w:rsidR="00854DF3" w:rsidRDefault="00854DF3" w:rsidP="005D08A6">
            <w:r>
              <w:t xml:space="preserve">days </w:t>
            </w:r>
          </w:p>
          <w:p w14:paraId="7F7304AF" w14:textId="77777777" w:rsidR="00854DF3" w:rsidRDefault="00854DF3" w:rsidP="005D08A6"/>
          <w:p w14:paraId="40710763" w14:textId="77777777" w:rsidR="00854DF3" w:rsidRDefault="00854DF3" w:rsidP="005D08A6">
            <w:r>
              <w:rPr>
                <w:b/>
              </w:rPr>
              <w:t xml:space="preserve">Milk: </w:t>
            </w:r>
            <w:r>
              <w:t>0 days</w:t>
            </w:r>
          </w:p>
          <w:p w14:paraId="4B352992" w14:textId="77777777" w:rsidR="00854DF3" w:rsidRDefault="00854DF3" w:rsidP="005D08A6"/>
          <w:p w14:paraId="5188A041" w14:textId="77777777" w:rsidR="00854DF3" w:rsidRDefault="00854DF3" w:rsidP="005D08A6"/>
          <w:p w14:paraId="0178ABC5" w14:textId="77777777" w:rsidR="00854DF3" w:rsidRDefault="00854DF3" w:rsidP="005D08A6"/>
          <w:p w14:paraId="21342D2A" w14:textId="4247DB49" w:rsidR="00854DF3" w:rsidRPr="00374B3C" w:rsidRDefault="00854DF3" w:rsidP="005D08A6"/>
        </w:tc>
      </w:tr>
      <w:tr w:rsidR="00854DF3" w14:paraId="39D28D4C" w14:textId="77777777" w:rsidTr="00854DF3">
        <w:tc>
          <w:tcPr>
            <w:tcW w:w="1368" w:type="dxa"/>
            <w:shd w:val="clear" w:color="auto" w:fill="F4B083" w:themeFill="accent2" w:themeFillTint="99"/>
          </w:tcPr>
          <w:p w14:paraId="70F5CACC" w14:textId="2018C7B4" w:rsidR="00854DF3" w:rsidRDefault="00854DF3">
            <w:r>
              <w:t>Epinephrine</w:t>
            </w:r>
          </w:p>
        </w:tc>
        <w:tc>
          <w:tcPr>
            <w:tcW w:w="1567" w:type="dxa"/>
            <w:shd w:val="clear" w:color="auto" w:fill="F4B083" w:themeFill="accent2" w:themeFillTint="99"/>
          </w:tcPr>
          <w:p w14:paraId="2071E674" w14:textId="77777777" w:rsidR="00854DF3" w:rsidRDefault="00854DF3">
            <w:r>
              <w:t>1 mg/ml</w:t>
            </w:r>
          </w:p>
        </w:tc>
        <w:tc>
          <w:tcPr>
            <w:tcW w:w="1583" w:type="dxa"/>
            <w:shd w:val="clear" w:color="auto" w:fill="F4B083" w:themeFill="accent2" w:themeFillTint="99"/>
          </w:tcPr>
          <w:p w14:paraId="41E9B23E" w14:textId="77777777" w:rsidR="00854DF3" w:rsidRDefault="00854DF3">
            <w:r>
              <w:t>0.02 mg/kg</w:t>
            </w:r>
          </w:p>
          <w:p w14:paraId="3D67DB07" w14:textId="77777777" w:rsidR="00854DF3" w:rsidRDefault="00854DF3"/>
          <w:p w14:paraId="4CA2AACF" w14:textId="4274DDAF" w:rsidR="00854DF3" w:rsidRDefault="00854DF3">
            <w:r>
              <w:t>Intramuscular</w:t>
            </w:r>
          </w:p>
        </w:tc>
        <w:tc>
          <w:tcPr>
            <w:tcW w:w="1530" w:type="dxa"/>
            <w:shd w:val="clear" w:color="auto" w:fill="F4B083" w:themeFill="accent2" w:themeFillTint="99"/>
          </w:tcPr>
          <w:p w14:paraId="179C5F6F" w14:textId="77777777" w:rsidR="00854DF3" w:rsidRDefault="00854DF3">
            <w:r>
              <w:t>Used in treatment of anaphylactic shock. Also used for cardiac resuscitation</w:t>
            </w:r>
          </w:p>
        </w:tc>
        <w:tc>
          <w:tcPr>
            <w:tcW w:w="1963" w:type="dxa"/>
            <w:shd w:val="clear" w:color="auto" w:fill="F4B083" w:themeFill="accent2" w:themeFillTint="99"/>
          </w:tcPr>
          <w:p w14:paraId="6505F126" w14:textId="187FD001" w:rsidR="00854DF3" w:rsidRDefault="00854DF3">
            <w:r>
              <w:t>Do not use in cases with glaucoma, shock due to non-anaphylactic causes, during parturition etc.</w:t>
            </w:r>
          </w:p>
        </w:tc>
        <w:tc>
          <w:tcPr>
            <w:tcW w:w="1295" w:type="dxa"/>
            <w:gridSpan w:val="2"/>
            <w:shd w:val="clear" w:color="auto" w:fill="F4B083" w:themeFill="accent2" w:themeFillTint="99"/>
          </w:tcPr>
          <w:p w14:paraId="3001381D" w14:textId="77777777" w:rsidR="00854DF3" w:rsidRDefault="00854DF3"/>
        </w:tc>
      </w:tr>
      <w:tr w:rsidR="00854DF3" w14:paraId="00F5BB12" w14:textId="77777777" w:rsidTr="00854DF3">
        <w:tc>
          <w:tcPr>
            <w:tcW w:w="1368" w:type="dxa"/>
            <w:shd w:val="clear" w:color="auto" w:fill="F4B083" w:themeFill="accent2" w:themeFillTint="99"/>
          </w:tcPr>
          <w:p w14:paraId="5D837180" w14:textId="77777777" w:rsidR="00854DF3" w:rsidRDefault="00854DF3">
            <w:r>
              <w:lastRenderedPageBreak/>
              <w:t>Atropine</w:t>
            </w:r>
          </w:p>
        </w:tc>
        <w:tc>
          <w:tcPr>
            <w:tcW w:w="1567" w:type="dxa"/>
            <w:shd w:val="clear" w:color="auto" w:fill="F4B083" w:themeFill="accent2" w:themeFillTint="99"/>
          </w:tcPr>
          <w:p w14:paraId="16A633FD" w14:textId="7A5B864F" w:rsidR="00854DF3" w:rsidRDefault="00854DF3">
            <w:r>
              <w:t>0.54 mg/ml</w:t>
            </w:r>
          </w:p>
        </w:tc>
        <w:tc>
          <w:tcPr>
            <w:tcW w:w="1583" w:type="dxa"/>
            <w:shd w:val="clear" w:color="auto" w:fill="F4B083" w:themeFill="accent2" w:themeFillTint="99"/>
          </w:tcPr>
          <w:p w14:paraId="186960FD" w14:textId="77777777" w:rsidR="00854DF3" w:rsidRDefault="00854DF3">
            <w:r>
              <w:t>0.04mg/kg</w:t>
            </w:r>
          </w:p>
          <w:p w14:paraId="01252763" w14:textId="0CFBF60B" w:rsidR="00854DF3" w:rsidRDefault="00854DF3">
            <w:r>
              <w:t xml:space="preserve">Give quarter of the dose IV and the rest IM </w:t>
            </w:r>
          </w:p>
        </w:tc>
        <w:tc>
          <w:tcPr>
            <w:tcW w:w="1530" w:type="dxa"/>
            <w:shd w:val="clear" w:color="auto" w:fill="F4B083" w:themeFill="accent2" w:themeFillTint="99"/>
          </w:tcPr>
          <w:p w14:paraId="77B8C13B" w14:textId="3FAC9049" w:rsidR="00854DF3" w:rsidRDefault="00854DF3">
            <w:r>
              <w:t xml:space="preserve">Used in cases of bradycardia to raise heart rate. </w:t>
            </w:r>
          </w:p>
        </w:tc>
        <w:tc>
          <w:tcPr>
            <w:tcW w:w="1963" w:type="dxa"/>
            <w:shd w:val="clear" w:color="auto" w:fill="F4B083" w:themeFill="accent2" w:themeFillTint="99"/>
          </w:tcPr>
          <w:p w14:paraId="05D9DD26" w14:textId="7580F7AC" w:rsidR="00854DF3" w:rsidRDefault="00854DF3">
            <w:r>
              <w:t>Do not use in cases of glaucoma, tachycardia, ileus, urinary obstruction</w:t>
            </w:r>
          </w:p>
        </w:tc>
        <w:tc>
          <w:tcPr>
            <w:tcW w:w="1295" w:type="dxa"/>
            <w:gridSpan w:val="2"/>
            <w:shd w:val="clear" w:color="auto" w:fill="F4B083" w:themeFill="accent2" w:themeFillTint="99"/>
          </w:tcPr>
          <w:p w14:paraId="77A35845" w14:textId="77777777" w:rsidR="00854DF3" w:rsidRDefault="00854DF3">
            <w:r>
              <w:rPr>
                <w:b/>
              </w:rPr>
              <w:t>Meat:</w:t>
            </w:r>
            <w:r>
              <w:t xml:space="preserve"> 14 days</w:t>
            </w:r>
          </w:p>
          <w:p w14:paraId="17C266AE" w14:textId="77777777" w:rsidR="00854DF3" w:rsidRDefault="00854DF3"/>
          <w:p w14:paraId="1205BB79" w14:textId="01ADC8CF" w:rsidR="00854DF3" w:rsidRPr="00374B3C" w:rsidRDefault="00854DF3">
            <w:r>
              <w:rPr>
                <w:b/>
              </w:rPr>
              <w:t>Milk:</w:t>
            </w:r>
            <w:r>
              <w:t xml:space="preserve"> 3 days</w:t>
            </w:r>
          </w:p>
        </w:tc>
      </w:tr>
    </w:tbl>
    <w:p w14:paraId="6546CD53" w14:textId="19CF9156" w:rsidR="008162F6" w:rsidRPr="00854DF3" w:rsidRDefault="00C57168">
      <w:pPr>
        <w:rPr>
          <w:b/>
        </w:rPr>
      </w:pPr>
      <w:r>
        <w:rPr>
          <w:b/>
        </w:rPr>
        <w:t xml:space="preserve">If lidocaine is used then the toxic dose should be calculated before the surgery. Example: </w:t>
      </w:r>
      <w:r w:rsidR="00FB16E7" w:rsidRPr="00FB16E7">
        <w:rPr>
          <w:b/>
        </w:rPr>
        <w:t>Toxic Dose of Lidocaine</w:t>
      </w:r>
      <w:r w:rsidR="00FB16E7">
        <w:rPr>
          <w:b/>
        </w:rPr>
        <w:t xml:space="preserve"> (10mg/kg):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10×120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=60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ml</m:t>
        </m:r>
      </m:oMath>
    </w:p>
    <w:sectPr w:rsidR="008162F6" w:rsidRPr="00854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haroni">
    <w:altName w:val="Tahoma"/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onsolas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08"/>
    <w:rsid w:val="000C1D08"/>
    <w:rsid w:val="00107528"/>
    <w:rsid w:val="0016160F"/>
    <w:rsid w:val="002713C0"/>
    <w:rsid w:val="00294994"/>
    <w:rsid w:val="00374B3C"/>
    <w:rsid w:val="003A7043"/>
    <w:rsid w:val="003B335B"/>
    <w:rsid w:val="0049448E"/>
    <w:rsid w:val="004950F4"/>
    <w:rsid w:val="00520EEB"/>
    <w:rsid w:val="005818AC"/>
    <w:rsid w:val="005A7E66"/>
    <w:rsid w:val="005D08A6"/>
    <w:rsid w:val="005D7988"/>
    <w:rsid w:val="007A582C"/>
    <w:rsid w:val="008162F6"/>
    <w:rsid w:val="00854DF3"/>
    <w:rsid w:val="008A2295"/>
    <w:rsid w:val="009D3473"/>
    <w:rsid w:val="009E6BC9"/>
    <w:rsid w:val="00A61754"/>
    <w:rsid w:val="00A72492"/>
    <w:rsid w:val="00B70948"/>
    <w:rsid w:val="00C57168"/>
    <w:rsid w:val="00C62BAA"/>
    <w:rsid w:val="00D359F0"/>
    <w:rsid w:val="00E9191E"/>
    <w:rsid w:val="00ED7E22"/>
    <w:rsid w:val="00F82732"/>
    <w:rsid w:val="00FB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FD12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20E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73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73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D08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20E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73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73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D0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0D34617F-CE18-4FA3-9198-ED6C6D6E2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Shakera Hemmings</dc:creator>
  <cp:lastModifiedBy>Vanessa</cp:lastModifiedBy>
  <cp:revision>4</cp:revision>
  <cp:lastPrinted>2015-09-26T19:06:00Z</cp:lastPrinted>
  <dcterms:created xsi:type="dcterms:W3CDTF">2015-10-04T17:25:00Z</dcterms:created>
  <dcterms:modified xsi:type="dcterms:W3CDTF">2015-10-20T05:35:00Z</dcterms:modified>
</cp:coreProperties>
</file>