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F2" w:rsidRDefault="00C708F2" w:rsidP="007C16D8">
      <w:pPr>
        <w:jc w:val="center"/>
        <w:rPr>
          <w:b/>
        </w:rPr>
      </w:pPr>
      <w:r>
        <w:rPr>
          <w:b/>
        </w:rPr>
        <w:t>Pre-operative drugs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374"/>
        <w:gridCol w:w="265"/>
        <w:gridCol w:w="1023"/>
        <w:gridCol w:w="1061"/>
        <w:gridCol w:w="1039"/>
        <w:gridCol w:w="1268"/>
        <w:gridCol w:w="1124"/>
        <w:gridCol w:w="1417"/>
      </w:tblGrid>
      <w:tr w:rsidR="007C16D8" w:rsidTr="007C16D8">
        <w:tc>
          <w:tcPr>
            <w:tcW w:w="989" w:type="dxa"/>
          </w:tcPr>
          <w:p w:rsidR="00C708F2" w:rsidRPr="007C16D8" w:rsidRDefault="00C708F2" w:rsidP="00C9595C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Name of drug</w:t>
            </w:r>
          </w:p>
        </w:tc>
        <w:tc>
          <w:tcPr>
            <w:tcW w:w="1472" w:type="dxa"/>
            <w:gridSpan w:val="2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Class of drug</w:t>
            </w:r>
          </w:p>
        </w:tc>
        <w:tc>
          <w:tcPr>
            <w:tcW w:w="864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Active ingredient</w:t>
            </w:r>
          </w:p>
        </w:tc>
        <w:tc>
          <w:tcPr>
            <w:tcW w:w="1071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Description</w:t>
            </w:r>
          </w:p>
        </w:tc>
        <w:tc>
          <w:tcPr>
            <w:tcW w:w="989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Indications</w:t>
            </w:r>
          </w:p>
        </w:tc>
        <w:tc>
          <w:tcPr>
            <w:tcW w:w="1377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Adverse effects</w:t>
            </w:r>
          </w:p>
        </w:tc>
        <w:tc>
          <w:tcPr>
            <w:tcW w:w="1273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Dosage given</w:t>
            </w:r>
          </w:p>
        </w:tc>
        <w:tc>
          <w:tcPr>
            <w:tcW w:w="1541" w:type="dxa"/>
          </w:tcPr>
          <w:p w:rsidR="00C708F2" w:rsidRPr="007C16D8" w:rsidRDefault="00C708F2" w:rsidP="00C9595C">
            <w:pPr>
              <w:rPr>
                <w:sz w:val="14"/>
              </w:rPr>
            </w:pPr>
            <w:r w:rsidRPr="007C16D8">
              <w:rPr>
                <w:sz w:val="14"/>
              </w:rPr>
              <w:t>Other info</w:t>
            </w:r>
          </w:p>
        </w:tc>
      </w:tr>
      <w:tr w:rsidR="007C16D8" w:rsidTr="00C9595C"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Ketamine 10%</w:t>
            </w:r>
          </w:p>
        </w:tc>
        <w:tc>
          <w:tcPr>
            <w:tcW w:w="1197" w:type="dxa"/>
            <w:gridSpan w:val="2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Anesthetic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noProof/>
                <w:sz w:val="14"/>
              </w:rPr>
              <w:drawing>
                <wp:inline distT="0" distB="0" distL="0" distR="0" wp14:anchorId="40BDC6BD" wp14:editId="4B7E297C">
                  <wp:extent cx="892794" cy="1190625"/>
                  <wp:effectExtent l="0" t="0" r="3175" b="0"/>
                  <wp:docPr id="26" name="Picture 26" descr="C:\Users\KIBBLES\Desktop\lab report detail pics 13_26\20130903_151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IBBLES\Desktop\lab report detail pics 13_26\20130903_151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971" cy="119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proofErr w:type="spellStart"/>
            <w:r w:rsidRPr="007C16D8">
              <w:rPr>
                <w:sz w:val="14"/>
                <w:szCs w:val="20"/>
              </w:rPr>
              <w:t>Ketamin</w:t>
            </w:r>
            <w:proofErr w:type="spellEnd"/>
            <w:r w:rsidRPr="007C16D8">
              <w:rPr>
                <w:sz w:val="14"/>
                <w:szCs w:val="20"/>
              </w:rPr>
              <w:t>.</w:t>
            </w:r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Dissociative general anesthetic that inhibits NMDA receptors thereby allowing control of pain</w:t>
            </w:r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 xml:space="preserve">Anesthetic 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Analgesic</w:t>
            </w:r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Hypersensitivity reaction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Pain after injection IM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Respiratory depression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Emesis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Vocalization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Erratic and prolonged recovery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Dyspnea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Spastic jerking motions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Cardiac arrest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Dosage rates differ with the combination of drugs it is combined with: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Cattle: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bookmarkStart w:id="0" w:name="_GoBack"/>
            <w:bookmarkEnd w:id="0"/>
          </w:p>
        </w:tc>
        <w:tc>
          <w:tcPr>
            <w:tcW w:w="1197" w:type="dxa"/>
          </w:tcPr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Contraindications: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Known hypersensitivity reactions, animals used for human consumption, as sole general anesthetic, increases CSF pressure, head trauma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Drug interactions: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CNS depressants- increase recovery time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Halothane -recovery rates increased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Neuromuscular blockage- enhanced respiratory depression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Caution using in: hypertensive , arterial aneurisms, heart failure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 xml:space="preserve">Atropine can be used to control </w:t>
            </w:r>
            <w:proofErr w:type="spellStart"/>
            <w:r w:rsidRPr="007C16D8">
              <w:rPr>
                <w:sz w:val="14"/>
                <w:szCs w:val="20"/>
              </w:rPr>
              <w:t>hypersalivation</w:t>
            </w:r>
            <w:proofErr w:type="spellEnd"/>
            <w:r w:rsidRPr="007C16D8">
              <w:rPr>
                <w:sz w:val="14"/>
                <w:szCs w:val="20"/>
              </w:rPr>
              <w:t xml:space="preserve">  and other autonomic sigs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Cats eyes remain open after administration so application of lubricant drops are need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  <w:r w:rsidRPr="007C16D8">
              <w:rPr>
                <w:sz w:val="14"/>
                <w:szCs w:val="20"/>
              </w:rPr>
              <w:t>Spasmolytic agents can be used to treat the convulsive side effects (</w:t>
            </w:r>
            <w:proofErr w:type="spellStart"/>
            <w:r w:rsidRPr="007C16D8">
              <w:rPr>
                <w:sz w:val="14"/>
                <w:szCs w:val="20"/>
              </w:rPr>
              <w:t>e.g</w:t>
            </w:r>
            <w:proofErr w:type="spellEnd"/>
            <w:r w:rsidRPr="007C16D8">
              <w:rPr>
                <w:sz w:val="14"/>
                <w:szCs w:val="20"/>
              </w:rPr>
              <w:t xml:space="preserve">, </w:t>
            </w:r>
            <w:proofErr w:type="spellStart"/>
            <w:r w:rsidRPr="007C16D8">
              <w:rPr>
                <w:sz w:val="14"/>
                <w:szCs w:val="20"/>
              </w:rPr>
              <w:t>acepromazine</w:t>
            </w:r>
            <w:proofErr w:type="spellEnd"/>
            <w:r w:rsidRPr="007C16D8">
              <w:rPr>
                <w:sz w:val="14"/>
                <w:szCs w:val="20"/>
              </w:rPr>
              <w:t>)</w:t>
            </w:r>
          </w:p>
          <w:p w:rsidR="007C16D8" w:rsidRPr="007C16D8" w:rsidRDefault="007C16D8" w:rsidP="007C16D8">
            <w:pPr>
              <w:rPr>
                <w:sz w:val="14"/>
                <w:szCs w:val="20"/>
              </w:rPr>
            </w:pPr>
          </w:p>
        </w:tc>
      </w:tr>
      <w:tr w:rsidR="007C16D8" w:rsidTr="00C9595C"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  <w:gridSpan w:val="2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</w:tr>
      <w:tr w:rsidR="007C16D8" w:rsidTr="00C9595C"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  <w:gridSpan w:val="2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  <w:tc>
          <w:tcPr>
            <w:tcW w:w="1197" w:type="dxa"/>
          </w:tcPr>
          <w:p w:rsidR="007C16D8" w:rsidRDefault="007C16D8" w:rsidP="007C16D8"/>
        </w:tc>
      </w:tr>
    </w:tbl>
    <w:p w:rsidR="00C708F2" w:rsidRPr="00BA770C" w:rsidRDefault="00C708F2" w:rsidP="00C708F2"/>
    <w:p w:rsidR="00672CD9" w:rsidRDefault="00985FB1"/>
    <w:sectPr w:rsidR="0067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F2"/>
    <w:rsid w:val="007C16D8"/>
    <w:rsid w:val="00915B9C"/>
    <w:rsid w:val="00985FB1"/>
    <w:rsid w:val="00B3516E"/>
    <w:rsid w:val="00C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Ethlyn John</cp:lastModifiedBy>
  <cp:revision>1</cp:revision>
  <dcterms:created xsi:type="dcterms:W3CDTF">2015-09-21T22:07:00Z</dcterms:created>
  <dcterms:modified xsi:type="dcterms:W3CDTF">2015-09-21T23:10:00Z</dcterms:modified>
</cp:coreProperties>
</file>