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2" w:rsidRDefault="003A49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Pre-operative drugs and emergency drugs used during Bull castration</w:t>
      </w:r>
    </w:p>
    <w:p w:rsidR="003A3DC3" w:rsidRPr="003A3DC3" w:rsidRDefault="003A3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of bull = 150kg</w:t>
      </w:r>
    </w:p>
    <w:tbl>
      <w:tblPr>
        <w:tblStyle w:val="LightShading-Accent2"/>
        <w:tblW w:w="0" w:type="auto"/>
        <w:tblLook w:val="04A0"/>
      </w:tblPr>
      <w:tblGrid>
        <w:gridCol w:w="1817"/>
        <w:gridCol w:w="1825"/>
        <w:gridCol w:w="1685"/>
        <w:gridCol w:w="1897"/>
        <w:gridCol w:w="1659"/>
        <w:gridCol w:w="2103"/>
        <w:gridCol w:w="730"/>
        <w:gridCol w:w="1460"/>
        <w:gridCol w:w="2142"/>
      </w:tblGrid>
      <w:tr w:rsidR="000F365C" w:rsidTr="00E97EF6">
        <w:trPr>
          <w:cnfStyle w:val="100000000000"/>
        </w:trPr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1825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</w:p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 rate</w:t>
            </w:r>
          </w:p>
        </w:tc>
        <w:tc>
          <w:tcPr>
            <w:tcW w:w="1897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Calculations</w:t>
            </w:r>
          </w:p>
        </w:tc>
        <w:tc>
          <w:tcPr>
            <w:tcW w:w="1659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Indications for use</w:t>
            </w:r>
          </w:p>
        </w:tc>
        <w:tc>
          <w:tcPr>
            <w:tcW w:w="2103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Contraindications</w:t>
            </w:r>
          </w:p>
        </w:tc>
        <w:tc>
          <w:tcPr>
            <w:tcW w:w="730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WDT</w:t>
            </w:r>
          </w:p>
        </w:tc>
        <w:tc>
          <w:tcPr>
            <w:tcW w:w="2142" w:type="dxa"/>
          </w:tcPr>
          <w:p w:rsidR="000F365C" w:rsidRDefault="00E97EF6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Adverse Reactions</w:t>
            </w:r>
          </w:p>
        </w:tc>
      </w:tr>
      <w:tr w:rsidR="000F365C" w:rsidTr="00E97EF6">
        <w:trPr>
          <w:cnfStyle w:val="000000100000"/>
        </w:trPr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182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0.025mg/kg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 used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0.05mg/kg (for this lab).</w:t>
            </w:r>
          </w:p>
        </w:tc>
        <w:tc>
          <w:tcPr>
            <w:tcW w:w="1897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0.05 x 150/20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0.375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~ 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additional 0.2mls (due to sedation subsiding)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67">
              <w:rPr>
                <w:rFonts w:ascii="Times New Roman" w:hAnsi="Times New Roman" w:cs="Times New Roman"/>
                <w:b/>
                <w:sz w:val="24"/>
                <w:szCs w:val="24"/>
              </w:rPr>
              <w:t>TOTAL=0.6mls</w:t>
            </w:r>
          </w:p>
          <w:p w:rsidR="000F365C" w:rsidRPr="00CD3367" w:rsidRDefault="000F365C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Sedative</w:t>
            </w:r>
          </w:p>
        </w:tc>
        <w:tc>
          <w:tcPr>
            <w:tcW w:w="2103" w:type="dxa"/>
          </w:tcPr>
          <w:p w:rsidR="000F365C" w:rsidRDefault="000F365C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365C">
              <w:rPr>
                <w:rFonts w:ascii="Times New Roman" w:hAnsi="Times New Roman" w:cs="Times New Roman"/>
                <w:sz w:val="20"/>
                <w:szCs w:val="20"/>
              </w:rPr>
              <w:t>Do not use</w:t>
            </w:r>
            <w:proofErr w:type="gramEnd"/>
            <w:r w:rsidRPr="000F365C">
              <w:rPr>
                <w:rFonts w:ascii="Times New Roman" w:hAnsi="Times New Roman" w:cs="Times New Roman"/>
                <w:sz w:val="20"/>
                <w:szCs w:val="20"/>
              </w:rPr>
              <w:t xml:space="preserve"> in animals with </w:t>
            </w:r>
            <w:proofErr w:type="spellStart"/>
            <w:r w:rsidRPr="000F365C">
              <w:rPr>
                <w:rFonts w:ascii="Times New Roman" w:hAnsi="Times New Roman" w:cs="Times New Roman"/>
                <w:sz w:val="20"/>
                <w:szCs w:val="20"/>
              </w:rPr>
              <w:t>oesophageal</w:t>
            </w:r>
            <w:proofErr w:type="spellEnd"/>
            <w:r w:rsidRPr="000F365C">
              <w:rPr>
                <w:rFonts w:ascii="Times New Roman" w:hAnsi="Times New Roman" w:cs="Times New Roman"/>
                <w:sz w:val="20"/>
                <w:szCs w:val="20"/>
              </w:rPr>
              <w:t xml:space="preserve"> obstruction, and torsion of the stomach, as the muscle relaxant properties of the drug appear to accentuate the effects of the obstruction and because of possible vomiting.</w:t>
            </w:r>
          </w:p>
          <w:p w:rsidR="00111FC0" w:rsidRPr="000F365C" w:rsidRDefault="00111FC0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65C" w:rsidRPr="000F365C" w:rsidRDefault="000F365C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F365C">
              <w:rPr>
                <w:rFonts w:ascii="Times New Roman" w:hAnsi="Times New Roman" w:cs="Times New Roman"/>
                <w:sz w:val="20"/>
                <w:szCs w:val="20"/>
              </w:rPr>
              <w:t>Do not use in animals with renal or hepatic failure, respiratory dysfunction, cardiac abnormalities, hypotension and/or shock. Do not use in diabetic animals.</w:t>
            </w:r>
          </w:p>
          <w:p w:rsidR="00111FC0" w:rsidRDefault="00111FC0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65C" w:rsidRPr="000F365C" w:rsidRDefault="000F365C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F365C">
              <w:rPr>
                <w:rFonts w:ascii="Times New Roman" w:hAnsi="Times New Roman" w:cs="Times New Roman"/>
                <w:sz w:val="20"/>
                <w:szCs w:val="20"/>
              </w:rPr>
              <w:t>Do not use in animals suffering of an urethral obstruction or a rupture of the bladder</w:t>
            </w:r>
          </w:p>
          <w:p w:rsidR="00111FC0" w:rsidRDefault="00111FC0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65C" w:rsidRPr="005811BF" w:rsidRDefault="0072005F" w:rsidP="00111FC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not use in calves &lt;2wks</w:t>
            </w:r>
          </w:p>
          <w:p w:rsidR="005811BF" w:rsidRDefault="005811BF" w:rsidP="00111FC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Meat=48hrs</w:t>
            </w:r>
          </w:p>
        </w:tc>
        <w:tc>
          <w:tcPr>
            <w:tcW w:w="2142" w:type="dxa"/>
          </w:tcPr>
          <w:p w:rsidR="00E97EF6" w:rsidRPr="00E97EF6" w:rsidRDefault="00E97EF6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Soft or diarrheal feces during 24 hours following the administration of strong doses.</w:t>
            </w:r>
          </w:p>
          <w:p w:rsidR="00111FC0" w:rsidRDefault="00111FC0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F6" w:rsidRDefault="00E97EF6" w:rsidP="00111FC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Hypersalivation</w:t>
            </w:r>
            <w:proofErr w:type="spellEnd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ruminal</w:t>
            </w:r>
            <w:proofErr w:type="spellEnd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atony</w:t>
            </w:r>
            <w:proofErr w:type="spellEnd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atony</w:t>
            </w:r>
            <w:proofErr w:type="spellEnd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 xml:space="preserve"> of the tongue, regurgitation, bloating, hypothermia, </w:t>
            </w:r>
            <w:proofErr w:type="spellStart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bradycardia</w:t>
            </w:r>
            <w:proofErr w:type="spellEnd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 xml:space="preserve">, increased urine production and reversible </w:t>
            </w:r>
            <w:proofErr w:type="spellStart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prolapse</w:t>
            </w:r>
            <w:proofErr w:type="spellEnd"/>
            <w:r w:rsidRPr="00E97EF6">
              <w:rPr>
                <w:rFonts w:ascii="Times New Roman" w:hAnsi="Times New Roman" w:cs="Times New Roman"/>
                <w:sz w:val="20"/>
                <w:szCs w:val="20"/>
              </w:rPr>
              <w:t xml:space="preserve"> of the penis.</w:t>
            </w:r>
          </w:p>
          <w:p w:rsidR="00E97EF6" w:rsidRPr="00E97EF6" w:rsidRDefault="00E97EF6" w:rsidP="00E97EF6">
            <w:pPr>
              <w:ind w:left="72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EF6" w:rsidRPr="00E97EF6" w:rsidRDefault="00E97EF6" w:rsidP="00E97EF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97EF6">
              <w:rPr>
                <w:rFonts w:ascii="Times New Roman" w:hAnsi="Times New Roman" w:cs="Times New Roman"/>
                <w:sz w:val="20"/>
                <w:szCs w:val="20"/>
              </w:rPr>
              <w:t>The adverse effects are generally more pronounced after intramuscular administration compared to intravenous administration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5C" w:rsidTr="00E97EF6"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182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Approximately for this lab = 2.666mg/kg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5C" w:rsidRPr="00F7537E" w:rsidRDefault="000F365C">
            <w:pPr>
              <w:cnfStyle w:val="00000000000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7537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*Toxic dose = 10mg/kg*</w:t>
            </w:r>
          </w:p>
        </w:tc>
        <w:tc>
          <w:tcPr>
            <w:tcW w:w="1897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(Used </w:t>
            </w:r>
            <w:r w:rsidRPr="00CD33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20mls</w:t>
            </w:r>
            <w:r w:rsidRPr="00CD3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this lab)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65C" w:rsidRPr="00F7537E" w:rsidRDefault="000F365C">
            <w:pPr>
              <w:cnfStyle w:val="000000000000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7537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Toxic dose calc. = 10 x 150/20</w:t>
            </w:r>
          </w:p>
          <w:p w:rsidR="000F365C" w:rsidRPr="007B1F60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= 75mls</w:t>
            </w:r>
          </w:p>
        </w:tc>
        <w:tc>
          <w:tcPr>
            <w:tcW w:w="1659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anaesthetic</w:t>
            </w:r>
            <w:proofErr w:type="spellEnd"/>
          </w:p>
        </w:tc>
        <w:tc>
          <w:tcPr>
            <w:tcW w:w="2103" w:type="dxa"/>
          </w:tcPr>
          <w:p w:rsidR="000F365C" w:rsidRPr="005811BF" w:rsidRDefault="005811B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1BF">
              <w:rPr>
                <w:rFonts w:ascii="Times New Roman" w:hAnsi="Times New Roman" w:cs="Times New Roman"/>
                <w:sz w:val="20"/>
                <w:szCs w:val="20"/>
              </w:rPr>
              <w:t xml:space="preserve">Do not administer intravenously. Convulsions and shock may occur in sensitive animals if large doses of the drug are given intravenously (inadvertently) or </w:t>
            </w:r>
            <w:proofErr w:type="spellStart"/>
            <w:r w:rsidRPr="005811BF">
              <w:rPr>
                <w:rFonts w:ascii="Times New Roman" w:hAnsi="Times New Roman" w:cs="Times New Roman"/>
                <w:sz w:val="20"/>
                <w:szCs w:val="20"/>
              </w:rPr>
              <w:t>intrathecally</w:t>
            </w:r>
            <w:proofErr w:type="spellEnd"/>
            <w:r w:rsidRPr="005811BF">
              <w:rPr>
                <w:rFonts w:ascii="Times New Roman" w:hAnsi="Times New Roman" w:cs="Times New Roman"/>
                <w:sz w:val="20"/>
                <w:szCs w:val="20"/>
              </w:rPr>
              <w:t xml:space="preserve">. This may be treated by injecting a short acting barbiturate intravenously to control central nervous </w:t>
            </w:r>
            <w:r w:rsidRPr="00581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stimulation and immediately administering artificial respiration or oxygen.</w:t>
            </w:r>
          </w:p>
        </w:tc>
        <w:tc>
          <w:tcPr>
            <w:tcW w:w="730" w:type="dxa"/>
          </w:tcPr>
          <w:p w:rsidR="000F365C" w:rsidRPr="005811BF" w:rsidRDefault="000F365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Meat=1 day</w:t>
            </w:r>
          </w:p>
        </w:tc>
        <w:tc>
          <w:tcPr>
            <w:tcW w:w="2142" w:type="dxa"/>
          </w:tcPr>
          <w:p w:rsidR="000F365C" w:rsidRDefault="004C172D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C172D">
              <w:rPr>
                <w:rFonts w:ascii="Times New Roman" w:hAnsi="Times New Roman" w:cs="Times New Roman"/>
                <w:sz w:val="20"/>
                <w:szCs w:val="20"/>
              </w:rPr>
              <w:t xml:space="preserve">Transient drowsiness may occur in animals receiving large doses of </w:t>
            </w:r>
            <w:proofErr w:type="spellStart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>Lidocaine</w:t>
            </w:r>
            <w:proofErr w:type="spellEnd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 xml:space="preserve">. Signs of toxicity include: loss of consciousness, drop in blood pressure and respiratory collapse. The degree of toxicity depends upon the </w:t>
            </w:r>
            <w:proofErr w:type="spellStart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>vascularization</w:t>
            </w:r>
            <w:proofErr w:type="spellEnd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 xml:space="preserve"> of the area. Spasm of certain muscle groups or convulsions may also </w:t>
            </w:r>
            <w:r w:rsidRPr="004C17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occur. Treatment for toxicity is as follows: lowered head, artificial respiration, oxygen and I.V. </w:t>
            </w:r>
            <w:proofErr w:type="spellStart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>pressor</w:t>
            </w:r>
            <w:proofErr w:type="spellEnd"/>
            <w:r w:rsidRPr="004C172D">
              <w:rPr>
                <w:rFonts w:ascii="Times New Roman" w:hAnsi="Times New Roman" w:cs="Times New Roman"/>
                <w:sz w:val="20"/>
                <w:szCs w:val="20"/>
              </w:rPr>
              <w:t xml:space="preserve"> agents. Convulsions and spasm are controlled by means of small amounts of I.V. ultra short-acting barbiturates.</w:t>
            </w:r>
          </w:p>
          <w:p w:rsidR="00111FC0" w:rsidRPr="004C172D" w:rsidRDefault="00111FC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5C" w:rsidTr="00E97EF6">
        <w:trPr>
          <w:cnfStyle w:val="000000100000"/>
        </w:trPr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Flunixin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Meglumine</w:t>
            </w:r>
            <w:proofErr w:type="spellEnd"/>
          </w:p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1.1mg/kg</w:t>
            </w:r>
          </w:p>
        </w:tc>
        <w:tc>
          <w:tcPr>
            <w:tcW w:w="1897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1.1 x 150/50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=3.3mls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Analgesic (pre-emptive) and post-op for 3 days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F365C" w:rsidRDefault="004F66C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F66C6">
              <w:rPr>
                <w:rFonts w:ascii="Times New Roman" w:hAnsi="Times New Roman" w:cs="Times New Roman"/>
                <w:sz w:val="20"/>
                <w:szCs w:val="20"/>
              </w:rPr>
              <w:t xml:space="preserve">Do not administer intra-arterially. Inadvertent intra-arterial injection may cause adverse reactions. Do not use in cattle showing hypersensitivity to </w:t>
            </w:r>
            <w:proofErr w:type="spellStart"/>
            <w:r w:rsidRPr="004F66C6">
              <w:rPr>
                <w:rFonts w:ascii="Times New Roman" w:hAnsi="Times New Roman" w:cs="Times New Roman"/>
                <w:sz w:val="20"/>
                <w:szCs w:val="20"/>
              </w:rPr>
              <w:t>flunixin</w:t>
            </w:r>
            <w:proofErr w:type="spellEnd"/>
            <w:r w:rsidRPr="004F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6C6">
              <w:rPr>
                <w:rFonts w:ascii="Times New Roman" w:hAnsi="Times New Roman" w:cs="Times New Roman"/>
                <w:sz w:val="20"/>
                <w:szCs w:val="20"/>
              </w:rPr>
              <w:t>meglumine</w:t>
            </w:r>
            <w:proofErr w:type="spellEnd"/>
            <w:r w:rsidRPr="004F66C6">
              <w:rPr>
                <w:rFonts w:ascii="Times New Roman" w:hAnsi="Times New Roman" w:cs="Times New Roman"/>
                <w:sz w:val="20"/>
                <w:szCs w:val="20"/>
              </w:rPr>
              <w:t xml:space="preserve">. The drug is contraindicated in animals with hepatic disease, renal and cardiovascular impairment, </w:t>
            </w:r>
            <w:proofErr w:type="gramStart"/>
            <w:r w:rsidRPr="004F66C6">
              <w:rPr>
                <w:rFonts w:ascii="Times New Roman" w:hAnsi="Times New Roman" w:cs="Times New Roman"/>
                <w:sz w:val="20"/>
                <w:szCs w:val="20"/>
              </w:rPr>
              <w:t>gastro</w:t>
            </w:r>
            <w:proofErr w:type="gramEnd"/>
            <w:r w:rsidRPr="004F66C6">
              <w:rPr>
                <w:rFonts w:ascii="Times New Roman" w:hAnsi="Times New Roman" w:cs="Times New Roman"/>
                <w:sz w:val="20"/>
                <w:szCs w:val="20"/>
              </w:rPr>
              <w:t>-intestinal ulceration and/or platelet disorders. It is also contraindicated in dehydrated animals.</w:t>
            </w:r>
          </w:p>
          <w:p w:rsidR="008E1CD2" w:rsidRPr="004F66C6" w:rsidRDefault="008E1CD2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Meat=4days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365C" w:rsidRPr="00111FC0" w:rsidRDefault="004F66C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1FC0">
              <w:rPr>
                <w:rFonts w:ascii="Times New Roman" w:hAnsi="Times New Roman" w:cs="Times New Roman"/>
                <w:sz w:val="20"/>
                <w:szCs w:val="20"/>
              </w:rPr>
              <w:t xml:space="preserve">Do not use in bulls intended for breeding as reproductive effects of </w:t>
            </w:r>
            <w:proofErr w:type="spellStart"/>
            <w:r w:rsidRPr="00111FC0">
              <w:rPr>
                <w:rFonts w:ascii="Times New Roman" w:hAnsi="Times New Roman" w:cs="Times New Roman"/>
                <w:sz w:val="20"/>
                <w:szCs w:val="20"/>
              </w:rPr>
              <w:t>Flunixin</w:t>
            </w:r>
            <w:proofErr w:type="spellEnd"/>
            <w:r w:rsidRPr="00111FC0">
              <w:rPr>
                <w:rFonts w:ascii="Times New Roman" w:hAnsi="Times New Roman" w:cs="Times New Roman"/>
                <w:sz w:val="20"/>
                <w:szCs w:val="20"/>
              </w:rPr>
              <w:t xml:space="preserve"> Injection in this class of cattle have not been investigated.</w:t>
            </w:r>
          </w:p>
          <w:p w:rsidR="004F66C6" w:rsidRDefault="004F66C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11FC0">
              <w:rPr>
                <w:rFonts w:ascii="Times New Roman" w:hAnsi="Times New Roman" w:cs="Times New Roman"/>
                <w:sz w:val="20"/>
                <w:szCs w:val="20"/>
              </w:rPr>
              <w:t>During clinical studies no significant side effects were reported when the drug was injected slowly. In cattle, a temporary head thrashing can occur if the drug is injected too rapidly</w:t>
            </w:r>
            <w:r w:rsidR="001C6FEF" w:rsidRPr="00111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365C" w:rsidTr="00E97EF6"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Penstrep</w:t>
            </w:r>
            <w:proofErr w:type="spellEnd"/>
          </w:p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 IU/ml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1897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20,000 x 150/200,000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15mls</w:t>
            </w:r>
          </w:p>
        </w:tc>
        <w:tc>
          <w:tcPr>
            <w:tcW w:w="1659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Antibiotics</w:t>
            </w:r>
          </w:p>
        </w:tc>
        <w:tc>
          <w:tcPr>
            <w:tcW w:w="2103" w:type="dxa"/>
          </w:tcPr>
          <w:p w:rsidR="008E1CD2" w:rsidRPr="00111FC0" w:rsidRDefault="008E1CD2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1FC0">
              <w:rPr>
                <w:rFonts w:ascii="Times New Roman" w:hAnsi="Times New Roman" w:cs="Times New Roman"/>
                <w:sz w:val="20"/>
                <w:szCs w:val="20"/>
              </w:rPr>
              <w:t xml:space="preserve">Contraindicated in known cases of hypersensitivity to </w:t>
            </w:r>
            <w:proofErr w:type="spellStart"/>
            <w:r w:rsidRPr="00111FC0">
              <w:rPr>
                <w:rFonts w:ascii="Times New Roman" w:hAnsi="Times New Roman" w:cs="Times New Roman"/>
                <w:sz w:val="20"/>
                <w:szCs w:val="20"/>
              </w:rPr>
              <w:t>penicillins</w:t>
            </w:r>
            <w:proofErr w:type="spellEnd"/>
            <w:r w:rsidR="00111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Days</w:t>
            </w:r>
          </w:p>
        </w:tc>
        <w:tc>
          <w:tcPr>
            <w:tcW w:w="2142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5C" w:rsidTr="00E97EF6">
        <w:trPr>
          <w:cnfStyle w:val="000000100000"/>
        </w:trPr>
        <w:tc>
          <w:tcPr>
            <w:cnfStyle w:val="001000000000"/>
            <w:tcW w:w="1817" w:type="dxa"/>
          </w:tcPr>
          <w:p w:rsidR="000F365C" w:rsidRPr="009717B5" w:rsidRDefault="000F365C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EMERGENCY DRUGS:</w:t>
            </w:r>
          </w:p>
        </w:tc>
        <w:tc>
          <w:tcPr>
            <w:tcW w:w="182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5C" w:rsidTr="00E97EF6"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  <w:proofErr w:type="spellEnd"/>
          </w:p>
        </w:tc>
        <w:tc>
          <w:tcPr>
            <w:tcW w:w="182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times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dose = 0.1mg/kg</w:t>
            </w:r>
          </w:p>
        </w:tc>
        <w:tc>
          <w:tcPr>
            <w:tcW w:w="1897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0.1 x 150/100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=0.15mls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reversal</w:t>
            </w:r>
          </w:p>
        </w:tc>
        <w:tc>
          <w:tcPr>
            <w:tcW w:w="2103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for food animals</w:t>
            </w:r>
          </w:p>
        </w:tc>
        <w:tc>
          <w:tcPr>
            <w:tcW w:w="2142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5C" w:rsidTr="00E97EF6">
        <w:trPr>
          <w:cnfStyle w:val="000000100000"/>
        </w:trPr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82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0.54mg/ml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0.04mg/kg</w:t>
            </w:r>
          </w:p>
        </w:tc>
        <w:tc>
          <w:tcPr>
            <w:tcW w:w="1897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0.04 x 150/0.54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11.11</w:t>
            </w:r>
          </w:p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Use for severe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bradycardia</w:t>
            </w:r>
            <w:proofErr w:type="spellEnd"/>
          </w:p>
        </w:tc>
        <w:tc>
          <w:tcPr>
            <w:tcW w:w="2103" w:type="dxa"/>
          </w:tcPr>
          <w:p w:rsidR="000F365C" w:rsidRPr="00111FC0" w:rsidRDefault="00107FA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11FC0">
              <w:rPr>
                <w:rFonts w:ascii="Times New Roman" w:hAnsi="Times New Roman" w:cs="Times New Roman"/>
                <w:sz w:val="20"/>
                <w:szCs w:val="20"/>
              </w:rPr>
              <w:t>Do not use in animals with glaucoma.</w:t>
            </w:r>
          </w:p>
        </w:tc>
        <w:tc>
          <w:tcPr>
            <w:tcW w:w="73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Meat=14 days</w:t>
            </w:r>
          </w:p>
        </w:tc>
        <w:tc>
          <w:tcPr>
            <w:tcW w:w="2142" w:type="dxa"/>
          </w:tcPr>
          <w:p w:rsidR="000F365C" w:rsidRDefault="000F365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5C" w:rsidTr="00E97EF6">
        <w:tc>
          <w:tcPr>
            <w:cnfStyle w:val="001000000000"/>
            <w:tcW w:w="1817" w:type="dxa"/>
          </w:tcPr>
          <w:p w:rsidR="000F365C" w:rsidRDefault="000F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Epinephrine</w:t>
            </w:r>
          </w:p>
        </w:tc>
        <w:tc>
          <w:tcPr>
            <w:tcW w:w="182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685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0.02mg/kg</w:t>
            </w:r>
          </w:p>
        </w:tc>
        <w:tc>
          <w:tcPr>
            <w:tcW w:w="1897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 dose x wt/[ ]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0.02 x 150/1</w:t>
            </w:r>
          </w:p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3mls</w:t>
            </w:r>
          </w:p>
        </w:tc>
        <w:tc>
          <w:tcPr>
            <w:tcW w:w="1659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Anaphylactic reactions</w:t>
            </w:r>
          </w:p>
        </w:tc>
        <w:tc>
          <w:tcPr>
            <w:tcW w:w="2103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WDT</w:t>
            </w:r>
          </w:p>
        </w:tc>
        <w:tc>
          <w:tcPr>
            <w:tcW w:w="2142" w:type="dxa"/>
          </w:tcPr>
          <w:p w:rsidR="000F365C" w:rsidRDefault="000F365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950" w:rsidRPr="003A4950" w:rsidRDefault="003A4950">
      <w:pPr>
        <w:rPr>
          <w:rFonts w:ascii="Times New Roman" w:hAnsi="Times New Roman" w:cs="Times New Roman"/>
          <w:sz w:val="24"/>
          <w:szCs w:val="24"/>
        </w:rPr>
      </w:pPr>
    </w:p>
    <w:sectPr w:rsidR="003A4950" w:rsidRPr="003A4950" w:rsidSect="000F365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50C"/>
    <w:multiLevelType w:val="multilevel"/>
    <w:tmpl w:val="94E0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C7794"/>
    <w:multiLevelType w:val="multilevel"/>
    <w:tmpl w:val="54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4950"/>
    <w:rsid w:val="00040D52"/>
    <w:rsid w:val="000F365C"/>
    <w:rsid w:val="00107FAB"/>
    <w:rsid w:val="00111FC0"/>
    <w:rsid w:val="001C6FEF"/>
    <w:rsid w:val="003A3DC3"/>
    <w:rsid w:val="003A4950"/>
    <w:rsid w:val="004C172D"/>
    <w:rsid w:val="004F66C6"/>
    <w:rsid w:val="00546346"/>
    <w:rsid w:val="005811BF"/>
    <w:rsid w:val="00587661"/>
    <w:rsid w:val="005A2738"/>
    <w:rsid w:val="00646AA1"/>
    <w:rsid w:val="0072005F"/>
    <w:rsid w:val="007B1F60"/>
    <w:rsid w:val="008E1CD2"/>
    <w:rsid w:val="009717B5"/>
    <w:rsid w:val="009D3C12"/>
    <w:rsid w:val="00CD3367"/>
    <w:rsid w:val="00E97EF6"/>
    <w:rsid w:val="00F7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3A49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3A49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A49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A49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A49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0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Ann Kattick</dc:creator>
  <cp:lastModifiedBy>Kerry Ann Kattick</cp:lastModifiedBy>
  <cp:revision>16</cp:revision>
  <dcterms:created xsi:type="dcterms:W3CDTF">2015-09-19T22:06:00Z</dcterms:created>
  <dcterms:modified xsi:type="dcterms:W3CDTF">2015-09-19T23:25:00Z</dcterms:modified>
</cp:coreProperties>
</file>