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C2" w:rsidRPr="00D14DC2" w:rsidRDefault="00D14DC2" w:rsidP="00D14DC2">
      <w:pPr>
        <w:shd w:val="clear" w:color="auto" w:fill="FFFFFF"/>
        <w:spacing w:before="100" w:beforeAutospacing="1" w:after="100" w:afterAutospacing="1" w:line="240" w:lineRule="auto"/>
        <w:outlineLvl w:val="1"/>
        <w:rPr>
          <w:rFonts w:ascii="Helvetica" w:eastAsia="Times New Roman" w:hAnsi="Helvetica" w:cs="Helvetica"/>
          <w:color w:val="000000"/>
          <w:sz w:val="38"/>
          <w:szCs w:val="38"/>
        </w:rPr>
      </w:pPr>
      <w:r w:rsidRPr="00D14DC2">
        <w:rPr>
          <w:rFonts w:ascii="Helvetica" w:eastAsia="Times New Roman" w:hAnsi="Helvetica" w:cs="Helvetica"/>
          <w:color w:val="000000"/>
          <w:sz w:val="38"/>
          <w:szCs w:val="38"/>
        </w:rPr>
        <w:t>Amphotericin B - Clinical Pharmacology</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b/>
          <w:bCs/>
          <w:color w:val="444444"/>
          <w:sz w:val="21"/>
          <w:szCs w:val="21"/>
        </w:rPr>
        <w:t>Microbiology</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color w:val="444444"/>
          <w:sz w:val="21"/>
          <w:szCs w:val="21"/>
        </w:rPr>
        <w:t>Amphotericin B shows a high order of </w:t>
      </w:r>
      <w:r w:rsidRPr="00D14DC2">
        <w:rPr>
          <w:rFonts w:ascii="Helvetica" w:eastAsia="Times New Roman" w:hAnsi="Helvetica" w:cs="Helvetica"/>
          <w:i/>
          <w:iCs/>
          <w:color w:val="444444"/>
          <w:sz w:val="21"/>
          <w:szCs w:val="21"/>
        </w:rPr>
        <w:t>in vitro</w:t>
      </w:r>
      <w:r w:rsidRPr="00D14DC2">
        <w:rPr>
          <w:rFonts w:ascii="Helvetica" w:eastAsia="Times New Roman" w:hAnsi="Helvetica" w:cs="Helvetica"/>
          <w:color w:val="444444"/>
          <w:sz w:val="21"/>
          <w:szCs w:val="21"/>
        </w:rPr>
        <w:t> activity against many species of fungi. </w:t>
      </w:r>
      <w:proofErr w:type="spellStart"/>
      <w:r w:rsidRPr="00D14DC2">
        <w:rPr>
          <w:rFonts w:ascii="Helvetica" w:eastAsia="Times New Roman" w:hAnsi="Helvetica" w:cs="Helvetica"/>
          <w:i/>
          <w:iCs/>
          <w:color w:val="444444"/>
          <w:sz w:val="21"/>
          <w:szCs w:val="21"/>
        </w:rPr>
        <w:t>Histoplasma</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capsulatum</w:t>
      </w:r>
      <w:proofErr w:type="spellEnd"/>
      <w:r w:rsidRPr="00D14DC2">
        <w:rPr>
          <w:rFonts w:ascii="Helvetica" w:eastAsia="Times New Roman" w:hAnsi="Helvetica" w:cs="Helvetica"/>
          <w:color w:val="444444"/>
          <w:sz w:val="21"/>
          <w:szCs w:val="21"/>
        </w:rPr>
        <w:t>, </w:t>
      </w:r>
      <w:proofErr w:type="spellStart"/>
      <w:r w:rsidRPr="00D14DC2">
        <w:rPr>
          <w:rFonts w:ascii="Helvetica" w:eastAsia="Times New Roman" w:hAnsi="Helvetica" w:cs="Helvetica"/>
          <w:i/>
          <w:iCs/>
          <w:color w:val="444444"/>
          <w:sz w:val="21"/>
          <w:szCs w:val="21"/>
        </w:rPr>
        <w:t>Coccidioides</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immitis</w:t>
      </w:r>
      <w:proofErr w:type="spellEnd"/>
      <w:r w:rsidRPr="00D14DC2">
        <w:rPr>
          <w:rFonts w:ascii="Helvetica" w:eastAsia="Times New Roman" w:hAnsi="Helvetica" w:cs="Helvetica"/>
          <w:color w:val="444444"/>
          <w:sz w:val="21"/>
          <w:szCs w:val="21"/>
        </w:rPr>
        <w:t>, </w:t>
      </w:r>
      <w:r w:rsidRPr="00D14DC2">
        <w:rPr>
          <w:rFonts w:ascii="Helvetica" w:eastAsia="Times New Roman" w:hAnsi="Helvetica" w:cs="Helvetica"/>
          <w:i/>
          <w:iCs/>
          <w:color w:val="444444"/>
          <w:sz w:val="21"/>
          <w:szCs w:val="21"/>
        </w:rPr>
        <w:t>Candida</w:t>
      </w:r>
      <w:r w:rsidRPr="00D14DC2">
        <w:rPr>
          <w:rFonts w:ascii="Helvetica" w:eastAsia="Times New Roman" w:hAnsi="Helvetica" w:cs="Helvetica"/>
          <w:color w:val="444444"/>
          <w:sz w:val="21"/>
          <w:szCs w:val="21"/>
        </w:rPr>
        <w:t> species, </w:t>
      </w:r>
      <w:proofErr w:type="spellStart"/>
      <w:r w:rsidRPr="00D14DC2">
        <w:rPr>
          <w:rFonts w:ascii="Helvetica" w:eastAsia="Times New Roman" w:hAnsi="Helvetica" w:cs="Helvetica"/>
          <w:i/>
          <w:iCs/>
          <w:color w:val="444444"/>
          <w:sz w:val="21"/>
          <w:szCs w:val="21"/>
        </w:rPr>
        <w:t>Blastomyces</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dermatitidis</w:t>
      </w:r>
      <w:proofErr w:type="spellEnd"/>
      <w:r w:rsidRPr="00D14DC2">
        <w:rPr>
          <w:rFonts w:ascii="Helvetica" w:eastAsia="Times New Roman" w:hAnsi="Helvetica" w:cs="Helvetica"/>
          <w:color w:val="444444"/>
          <w:sz w:val="21"/>
          <w:szCs w:val="21"/>
        </w:rPr>
        <w:t>, </w:t>
      </w:r>
      <w:proofErr w:type="spellStart"/>
      <w:r w:rsidRPr="00D14DC2">
        <w:rPr>
          <w:rFonts w:ascii="Helvetica" w:eastAsia="Times New Roman" w:hAnsi="Helvetica" w:cs="Helvetica"/>
          <w:i/>
          <w:iCs/>
          <w:color w:val="444444"/>
          <w:sz w:val="21"/>
          <w:szCs w:val="21"/>
        </w:rPr>
        <w:t>Rhodotorula</w:t>
      </w:r>
      <w:proofErr w:type="spellEnd"/>
      <w:r w:rsidRPr="00D14DC2">
        <w:rPr>
          <w:rFonts w:ascii="Helvetica" w:eastAsia="Times New Roman" w:hAnsi="Helvetica" w:cs="Helvetica"/>
          <w:i/>
          <w:iCs/>
          <w:color w:val="444444"/>
          <w:sz w:val="21"/>
          <w:szCs w:val="21"/>
        </w:rPr>
        <w:t xml:space="preserve">, Cryptococcus </w:t>
      </w:r>
      <w:proofErr w:type="spellStart"/>
      <w:r w:rsidRPr="00D14DC2">
        <w:rPr>
          <w:rFonts w:ascii="Helvetica" w:eastAsia="Times New Roman" w:hAnsi="Helvetica" w:cs="Helvetica"/>
          <w:i/>
          <w:iCs/>
          <w:color w:val="444444"/>
          <w:sz w:val="21"/>
          <w:szCs w:val="21"/>
        </w:rPr>
        <w:t>neoformans</w:t>
      </w:r>
      <w:proofErr w:type="spellEnd"/>
      <w:r w:rsidRPr="00D14DC2">
        <w:rPr>
          <w:rFonts w:ascii="Helvetica" w:eastAsia="Times New Roman" w:hAnsi="Helvetica" w:cs="Helvetica"/>
          <w:color w:val="444444"/>
          <w:sz w:val="21"/>
          <w:szCs w:val="21"/>
        </w:rPr>
        <w:t>, </w:t>
      </w:r>
      <w:proofErr w:type="spellStart"/>
      <w:r w:rsidRPr="00D14DC2">
        <w:rPr>
          <w:rFonts w:ascii="Helvetica" w:eastAsia="Times New Roman" w:hAnsi="Helvetica" w:cs="Helvetica"/>
          <w:i/>
          <w:iCs/>
          <w:color w:val="444444"/>
          <w:sz w:val="21"/>
          <w:szCs w:val="21"/>
        </w:rPr>
        <w:t>Sporothrix</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schenckii</w:t>
      </w:r>
      <w:proofErr w:type="spellEnd"/>
      <w:r w:rsidRPr="00D14DC2">
        <w:rPr>
          <w:rFonts w:ascii="Helvetica" w:eastAsia="Times New Roman" w:hAnsi="Helvetica" w:cs="Helvetica"/>
          <w:color w:val="444444"/>
          <w:sz w:val="21"/>
          <w:szCs w:val="21"/>
        </w:rPr>
        <w:t>, </w:t>
      </w:r>
      <w:proofErr w:type="spellStart"/>
      <w:r w:rsidRPr="00D14DC2">
        <w:rPr>
          <w:rFonts w:ascii="Helvetica" w:eastAsia="Times New Roman" w:hAnsi="Helvetica" w:cs="Helvetica"/>
          <w:i/>
          <w:iCs/>
          <w:color w:val="444444"/>
          <w:sz w:val="21"/>
          <w:szCs w:val="21"/>
        </w:rPr>
        <w:t>Mucor</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mucedo</w:t>
      </w:r>
      <w:proofErr w:type="spellEnd"/>
      <w:r w:rsidRPr="00D14DC2">
        <w:rPr>
          <w:rFonts w:ascii="Helvetica" w:eastAsia="Times New Roman" w:hAnsi="Helvetica" w:cs="Helvetica"/>
          <w:i/>
          <w:iCs/>
          <w:color w:val="444444"/>
          <w:sz w:val="21"/>
          <w:szCs w:val="21"/>
        </w:rPr>
        <w:t>,</w:t>
      </w:r>
      <w:r w:rsidRPr="00D14DC2">
        <w:rPr>
          <w:rFonts w:ascii="Helvetica" w:eastAsia="Times New Roman" w:hAnsi="Helvetica" w:cs="Helvetica"/>
          <w:color w:val="444444"/>
          <w:sz w:val="21"/>
          <w:szCs w:val="21"/>
        </w:rPr>
        <w:t> and </w:t>
      </w:r>
      <w:proofErr w:type="spellStart"/>
      <w:r w:rsidRPr="00D14DC2">
        <w:rPr>
          <w:rFonts w:ascii="Helvetica" w:eastAsia="Times New Roman" w:hAnsi="Helvetica" w:cs="Helvetica"/>
          <w:i/>
          <w:iCs/>
          <w:color w:val="444444"/>
          <w:sz w:val="21"/>
          <w:szCs w:val="21"/>
        </w:rPr>
        <w:t>Aspergillus</w:t>
      </w:r>
      <w:proofErr w:type="spellEnd"/>
      <w:r w:rsidRPr="00D14DC2">
        <w:rPr>
          <w:rFonts w:ascii="Helvetica" w:eastAsia="Times New Roman" w:hAnsi="Helvetica" w:cs="Helvetica"/>
          <w:i/>
          <w:iCs/>
          <w:color w:val="444444"/>
          <w:sz w:val="21"/>
          <w:szCs w:val="21"/>
        </w:rPr>
        <w:t> </w:t>
      </w:r>
      <w:proofErr w:type="spellStart"/>
      <w:r w:rsidRPr="00D14DC2">
        <w:rPr>
          <w:rFonts w:ascii="Helvetica" w:eastAsia="Times New Roman" w:hAnsi="Helvetica" w:cs="Helvetica"/>
          <w:i/>
          <w:iCs/>
          <w:color w:val="444444"/>
          <w:sz w:val="21"/>
          <w:szCs w:val="21"/>
        </w:rPr>
        <w:t>fumigatus</w:t>
      </w:r>
      <w:proofErr w:type="spellEnd"/>
      <w:r w:rsidRPr="00D14DC2">
        <w:rPr>
          <w:rFonts w:ascii="Helvetica" w:eastAsia="Times New Roman" w:hAnsi="Helvetica" w:cs="Helvetica"/>
          <w:color w:val="444444"/>
          <w:sz w:val="21"/>
          <w:szCs w:val="21"/>
        </w:rPr>
        <w:t> are all inhibited by concentrations of Amphotericin B ranging from 0.03 to 1.0 mcg/mL </w:t>
      </w:r>
      <w:r w:rsidRPr="00D14DC2">
        <w:rPr>
          <w:rFonts w:ascii="Helvetica" w:eastAsia="Times New Roman" w:hAnsi="Helvetica" w:cs="Helvetica"/>
          <w:i/>
          <w:iCs/>
          <w:color w:val="444444"/>
          <w:sz w:val="21"/>
          <w:szCs w:val="21"/>
        </w:rPr>
        <w:t>in vitro</w:t>
      </w:r>
      <w:r w:rsidRPr="00D14DC2">
        <w:rPr>
          <w:rFonts w:ascii="Helvetica" w:eastAsia="Times New Roman" w:hAnsi="Helvetica" w:cs="Helvetica"/>
          <w:color w:val="444444"/>
          <w:sz w:val="21"/>
          <w:szCs w:val="21"/>
        </w:rPr>
        <w:t xml:space="preserve">. </w:t>
      </w:r>
      <w:proofErr w:type="spellStart"/>
      <w:r w:rsidRPr="00D14DC2">
        <w:rPr>
          <w:rFonts w:ascii="Helvetica" w:eastAsia="Times New Roman" w:hAnsi="Helvetica" w:cs="Helvetica"/>
          <w:color w:val="444444"/>
          <w:sz w:val="21"/>
          <w:szCs w:val="21"/>
        </w:rPr>
        <w:t>While</w:t>
      </w:r>
      <w:r w:rsidRPr="00D14DC2">
        <w:rPr>
          <w:rFonts w:ascii="Helvetica" w:eastAsia="Times New Roman" w:hAnsi="Helvetica" w:cs="Helvetica"/>
          <w:i/>
          <w:iCs/>
          <w:color w:val="444444"/>
          <w:sz w:val="21"/>
          <w:szCs w:val="21"/>
        </w:rPr>
        <w:t>Candida</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albicans</w:t>
      </w:r>
      <w:proofErr w:type="spellEnd"/>
      <w:r w:rsidRPr="00D14DC2">
        <w:rPr>
          <w:rFonts w:ascii="Helvetica" w:eastAsia="Times New Roman" w:hAnsi="Helvetica" w:cs="Helvetica"/>
          <w:color w:val="444444"/>
          <w:sz w:val="21"/>
          <w:szCs w:val="21"/>
        </w:rPr>
        <w:t> is generally quite susceptible to Amphotericin B, non-</w:t>
      </w:r>
      <w:proofErr w:type="spellStart"/>
      <w:r w:rsidRPr="00D14DC2">
        <w:rPr>
          <w:rFonts w:ascii="Helvetica" w:eastAsia="Times New Roman" w:hAnsi="Helvetica" w:cs="Helvetica"/>
          <w:i/>
          <w:iCs/>
          <w:color w:val="444444"/>
          <w:sz w:val="21"/>
          <w:szCs w:val="21"/>
        </w:rPr>
        <w:t>albicans</w:t>
      </w:r>
      <w:proofErr w:type="spellEnd"/>
      <w:r w:rsidRPr="00D14DC2">
        <w:rPr>
          <w:rFonts w:ascii="Helvetica" w:eastAsia="Times New Roman" w:hAnsi="Helvetica" w:cs="Helvetica"/>
          <w:color w:val="444444"/>
          <w:sz w:val="21"/>
          <w:szCs w:val="21"/>
        </w:rPr>
        <w:t> species may be less susceptible. </w:t>
      </w:r>
      <w:proofErr w:type="spellStart"/>
      <w:r w:rsidRPr="00D14DC2">
        <w:rPr>
          <w:rFonts w:ascii="Helvetica" w:eastAsia="Times New Roman" w:hAnsi="Helvetica" w:cs="Helvetica"/>
          <w:i/>
          <w:iCs/>
          <w:color w:val="444444"/>
          <w:sz w:val="21"/>
          <w:szCs w:val="21"/>
        </w:rPr>
        <w:t>Pseudallescheria</w:t>
      </w:r>
      <w:proofErr w:type="spellEnd"/>
      <w:r w:rsidRPr="00D14DC2">
        <w:rPr>
          <w:rFonts w:ascii="Helvetica" w:eastAsia="Times New Roman" w:hAnsi="Helvetica" w:cs="Helvetica"/>
          <w:i/>
          <w:iCs/>
          <w:color w:val="444444"/>
          <w:sz w:val="21"/>
          <w:szCs w:val="21"/>
        </w:rPr>
        <w:t xml:space="preserve"> </w:t>
      </w:r>
      <w:proofErr w:type="spellStart"/>
      <w:r w:rsidRPr="00D14DC2">
        <w:rPr>
          <w:rFonts w:ascii="Helvetica" w:eastAsia="Times New Roman" w:hAnsi="Helvetica" w:cs="Helvetica"/>
          <w:i/>
          <w:iCs/>
          <w:color w:val="444444"/>
          <w:sz w:val="21"/>
          <w:szCs w:val="21"/>
        </w:rPr>
        <w:t>boydii</w:t>
      </w:r>
      <w:proofErr w:type="spellEnd"/>
      <w:r w:rsidRPr="00D14DC2">
        <w:rPr>
          <w:rFonts w:ascii="Helvetica" w:eastAsia="Times New Roman" w:hAnsi="Helvetica" w:cs="Helvetica"/>
          <w:color w:val="444444"/>
          <w:sz w:val="21"/>
          <w:szCs w:val="21"/>
        </w:rPr>
        <w:t> and </w:t>
      </w:r>
      <w:proofErr w:type="spellStart"/>
      <w:r w:rsidRPr="00D14DC2">
        <w:rPr>
          <w:rFonts w:ascii="Helvetica" w:eastAsia="Times New Roman" w:hAnsi="Helvetica" w:cs="Helvetica"/>
          <w:i/>
          <w:iCs/>
          <w:color w:val="444444"/>
          <w:sz w:val="21"/>
          <w:szCs w:val="21"/>
        </w:rPr>
        <w:t>Fusarium</w:t>
      </w:r>
      <w:proofErr w:type="spellEnd"/>
      <w:r w:rsidRPr="00D14DC2">
        <w:rPr>
          <w:rFonts w:ascii="Helvetica" w:eastAsia="Times New Roman" w:hAnsi="Helvetica" w:cs="Helvetica"/>
          <w:color w:val="444444"/>
          <w:sz w:val="21"/>
          <w:szCs w:val="21"/>
        </w:rPr>
        <w:t xml:space="preserve"> sp. are often resistant to Amphotericin B. The antibiotic is without effect on bacteria, </w:t>
      </w:r>
      <w:proofErr w:type="spellStart"/>
      <w:r w:rsidRPr="00D14DC2">
        <w:rPr>
          <w:rFonts w:ascii="Helvetica" w:eastAsia="Times New Roman" w:hAnsi="Helvetica" w:cs="Helvetica"/>
          <w:color w:val="444444"/>
          <w:sz w:val="21"/>
          <w:szCs w:val="21"/>
        </w:rPr>
        <w:t>rickettsiae</w:t>
      </w:r>
      <w:proofErr w:type="spellEnd"/>
      <w:r w:rsidRPr="00D14DC2">
        <w:rPr>
          <w:rFonts w:ascii="Helvetica" w:eastAsia="Times New Roman" w:hAnsi="Helvetica" w:cs="Helvetica"/>
          <w:color w:val="444444"/>
          <w:sz w:val="21"/>
          <w:szCs w:val="21"/>
        </w:rPr>
        <w:t>, and viruses.</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b/>
          <w:bCs/>
          <w:color w:val="444444"/>
          <w:sz w:val="21"/>
          <w:szCs w:val="21"/>
        </w:rPr>
        <w:t>Susceptibility Testing</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color w:val="444444"/>
          <w:sz w:val="21"/>
          <w:szCs w:val="21"/>
        </w:rPr>
        <w:t>Standardized techniques for susceptibility testing for antifungal agents have not been established and results of susceptibility studies have not been correlated with clinical outcomes.</w:t>
      </w:r>
    </w:p>
    <w:p w:rsidR="00D14DC2" w:rsidRPr="00D14DC2" w:rsidRDefault="00D14DC2" w:rsidP="00D14DC2">
      <w:pPr>
        <w:shd w:val="clear" w:color="auto" w:fill="FFFFFF"/>
        <w:spacing w:before="100" w:beforeAutospacing="1" w:after="100" w:afterAutospacing="1" w:line="240" w:lineRule="auto"/>
        <w:outlineLvl w:val="2"/>
        <w:rPr>
          <w:rFonts w:ascii="Helvetica" w:eastAsia="Times New Roman" w:hAnsi="Helvetica" w:cs="Helvetica"/>
          <w:color w:val="222222"/>
          <w:sz w:val="27"/>
          <w:szCs w:val="27"/>
        </w:rPr>
      </w:pPr>
      <w:r w:rsidRPr="00D14DC2">
        <w:rPr>
          <w:rFonts w:ascii="Helvetica" w:eastAsia="Times New Roman" w:hAnsi="Helvetica" w:cs="Helvetica"/>
          <w:b/>
          <w:bCs/>
          <w:color w:val="222222"/>
          <w:sz w:val="27"/>
          <w:szCs w:val="27"/>
        </w:rPr>
        <w:t>PHARMACOKINETICS</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color w:val="444444"/>
          <w:sz w:val="21"/>
          <w:szCs w:val="21"/>
        </w:rPr>
        <w:t xml:space="preserve">Amphotericin B is </w:t>
      </w:r>
      <w:proofErr w:type="spellStart"/>
      <w:r w:rsidRPr="00D14DC2">
        <w:rPr>
          <w:rFonts w:ascii="Helvetica" w:eastAsia="Times New Roman" w:hAnsi="Helvetica" w:cs="Helvetica"/>
          <w:color w:val="444444"/>
          <w:sz w:val="21"/>
          <w:szCs w:val="21"/>
        </w:rPr>
        <w:t>fungistatic</w:t>
      </w:r>
      <w:proofErr w:type="spellEnd"/>
      <w:r w:rsidRPr="00D14DC2">
        <w:rPr>
          <w:rFonts w:ascii="Helvetica" w:eastAsia="Times New Roman" w:hAnsi="Helvetica" w:cs="Helvetica"/>
          <w:color w:val="444444"/>
          <w:sz w:val="21"/>
          <w:szCs w:val="21"/>
        </w:rPr>
        <w:t xml:space="preserve"> or fungicidal depending on the concentration obtained in body fluids and the susceptibility of the fungus. The drug acts by binding to sterols in the cell membrane of susceptible fungi with a resultant change in membrane permeability allowing leakage of intracellular components. Mammalian cell membranes also contain sterols and it has been suggested that the damage to human cells and fungal cells may share common mechanisms.</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color w:val="444444"/>
          <w:sz w:val="21"/>
          <w:szCs w:val="21"/>
        </w:rPr>
        <w:t>An initial intravenous infusion of 1 to 5 mg of Amphotericin B per day, gradually increased to 0.4 to 0.6 mg/kg daily, produces peak plasma concentrations ranging from approximately 0.5 to 2 mcg/</w:t>
      </w:r>
      <w:proofErr w:type="spellStart"/>
      <w:r w:rsidRPr="00D14DC2">
        <w:rPr>
          <w:rFonts w:ascii="Helvetica" w:eastAsia="Times New Roman" w:hAnsi="Helvetica" w:cs="Helvetica"/>
          <w:color w:val="444444"/>
          <w:sz w:val="21"/>
          <w:szCs w:val="21"/>
        </w:rPr>
        <w:t>mL.</w:t>
      </w:r>
      <w:proofErr w:type="spellEnd"/>
      <w:r w:rsidRPr="00D14DC2">
        <w:rPr>
          <w:rFonts w:ascii="Helvetica" w:eastAsia="Times New Roman" w:hAnsi="Helvetica" w:cs="Helvetica"/>
          <w:color w:val="444444"/>
          <w:sz w:val="21"/>
          <w:szCs w:val="21"/>
        </w:rPr>
        <w:t xml:space="preserve"> Following a rapid initial fall, plasma concentrations plateau at about 0.5 mcg/</w:t>
      </w:r>
      <w:proofErr w:type="spellStart"/>
      <w:r w:rsidRPr="00D14DC2">
        <w:rPr>
          <w:rFonts w:ascii="Helvetica" w:eastAsia="Times New Roman" w:hAnsi="Helvetica" w:cs="Helvetica"/>
          <w:color w:val="444444"/>
          <w:sz w:val="21"/>
          <w:szCs w:val="21"/>
        </w:rPr>
        <w:t>mL.</w:t>
      </w:r>
      <w:proofErr w:type="spellEnd"/>
      <w:r w:rsidRPr="00D14DC2">
        <w:rPr>
          <w:rFonts w:ascii="Helvetica" w:eastAsia="Times New Roman" w:hAnsi="Helvetica" w:cs="Helvetica"/>
          <w:color w:val="444444"/>
          <w:sz w:val="21"/>
          <w:szCs w:val="21"/>
        </w:rPr>
        <w:t xml:space="preserve"> An elimination half-life of approximately 15 days follows an initial plasma half-life of about 24 hours. Amphotericin B circulating in plasma is highly bound (&gt;90%) to plasma proteins and is poorly dialyzable. Approximately two thirds of concurrent plasma concentrations have been detected in fluids from inflamed pleura, peritoneum, </w:t>
      </w:r>
      <w:proofErr w:type="spellStart"/>
      <w:r w:rsidRPr="00D14DC2">
        <w:rPr>
          <w:rFonts w:ascii="Helvetica" w:eastAsia="Times New Roman" w:hAnsi="Helvetica" w:cs="Helvetica"/>
          <w:color w:val="444444"/>
          <w:sz w:val="21"/>
          <w:szCs w:val="21"/>
        </w:rPr>
        <w:t>synovium</w:t>
      </w:r>
      <w:proofErr w:type="spellEnd"/>
      <w:r w:rsidRPr="00D14DC2">
        <w:rPr>
          <w:rFonts w:ascii="Helvetica" w:eastAsia="Times New Roman" w:hAnsi="Helvetica" w:cs="Helvetica"/>
          <w:color w:val="444444"/>
          <w:sz w:val="21"/>
          <w:szCs w:val="21"/>
        </w:rPr>
        <w:t>, and aqueous humor. Concentrations in the cerebrospinal fluid seldom exceed 2.5% of those in the plasma. Little Amphotericin B penetrates into vitreous humor or normal amniotic fluid. Complete details of tissue distribution are not known.</w:t>
      </w:r>
    </w:p>
    <w:p w:rsidR="00D14DC2" w:rsidRPr="00D14DC2" w:rsidRDefault="00D14DC2" w:rsidP="00D14DC2">
      <w:pPr>
        <w:shd w:val="clear" w:color="auto" w:fill="FFFFFF"/>
        <w:spacing w:before="192" w:after="192" w:line="294" w:lineRule="atLeast"/>
        <w:rPr>
          <w:rFonts w:ascii="Helvetica" w:eastAsia="Times New Roman" w:hAnsi="Helvetica" w:cs="Helvetica"/>
          <w:color w:val="444444"/>
          <w:sz w:val="21"/>
          <w:szCs w:val="21"/>
        </w:rPr>
      </w:pPr>
      <w:r w:rsidRPr="00D14DC2">
        <w:rPr>
          <w:rFonts w:ascii="Helvetica" w:eastAsia="Times New Roman" w:hAnsi="Helvetica" w:cs="Helvetica"/>
          <w:color w:val="444444"/>
          <w:sz w:val="21"/>
          <w:szCs w:val="21"/>
        </w:rPr>
        <w:t>Amphotericin B is excreted very slowly (over weeks to months) by the kidneys with 2 to 5% of a given dose being excreted in the biologically active form. Details of possible metabolic pathways are not known. After treatment is discontinued, the drug can be detected in the urine for at least 7 weeks due to the slow disappearance of the drug. The cumulative urinary output over a 7 day period amounts to approximately 40% of the amount of drug infused.</w:t>
      </w:r>
    </w:p>
    <w:p w:rsidR="006D0A8C" w:rsidRDefault="00D14DC2">
      <w:r>
        <w:t xml:space="preserve">SOURCE: </w:t>
      </w:r>
      <w:hyperlink r:id="rId4" w:history="1">
        <w:r w:rsidRPr="00E2544C">
          <w:rPr>
            <w:rStyle w:val="Hyperlink"/>
          </w:rPr>
          <w:t>http://www.drugs.com/pro/amphotericin-b.html</w:t>
        </w:r>
      </w:hyperlink>
    </w:p>
    <w:p w:rsidR="00D14DC2" w:rsidRDefault="00D14DC2">
      <w:bookmarkStart w:id="0" w:name="_GoBack"/>
      <w:bookmarkEnd w:id="0"/>
    </w:p>
    <w:sectPr w:rsidR="00D1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C2"/>
    <w:rsid w:val="006D0A8C"/>
    <w:rsid w:val="00D14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D9114-DA40-4373-9A02-2CAA886F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23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rugs.com/pro/amphotericin-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Deandra</dc:creator>
  <cp:keywords/>
  <dc:description/>
  <cp:lastModifiedBy>Deandra</cp:lastModifiedBy>
  <cp:revision>1</cp:revision>
  <dcterms:created xsi:type="dcterms:W3CDTF">2014-11-06T02:15:00Z</dcterms:created>
  <dcterms:modified xsi:type="dcterms:W3CDTF">2014-11-06T02:15:00Z</dcterms:modified>
</cp:coreProperties>
</file>