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103" w:rsidRDefault="002A0BE6" w:rsidP="002A0BE6">
      <w:pPr>
        <w:jc w:val="center"/>
        <w:rPr>
          <w:rFonts w:ascii="High Tower Text" w:hAnsi="High Tower Text"/>
          <w:sz w:val="28"/>
        </w:rPr>
      </w:pPr>
      <w:r>
        <w:rPr>
          <w:rFonts w:ascii="High Tower Text" w:hAnsi="High Tower Text"/>
          <w:sz w:val="28"/>
        </w:rPr>
        <w:t>ANTIEMETIC DRUGS</w:t>
      </w:r>
    </w:p>
    <w:p w:rsidR="002A0BE6" w:rsidRDefault="002A0BE6" w:rsidP="002A0BE6">
      <w:pPr>
        <w:jc w:val="center"/>
        <w:rPr>
          <w:rFonts w:ascii="High Tower Text" w:hAnsi="High Tower Text"/>
          <w:sz w:val="28"/>
        </w:rPr>
      </w:pPr>
    </w:p>
    <w:p w:rsidR="002A0BE6" w:rsidRDefault="002A0BE6" w:rsidP="002A0BE6">
      <w:pPr>
        <w:pStyle w:val="ListParagraph"/>
        <w:numPr>
          <w:ilvl w:val="0"/>
          <w:numId w:val="1"/>
        </w:numPr>
        <w:shd w:val="clear" w:color="auto" w:fill="FFFFFF"/>
        <w:spacing w:after="288" w:line="336" w:lineRule="atLeast"/>
        <w:rPr>
          <w:rFonts w:ascii="Arial" w:eastAsia="Times New Roman" w:hAnsi="Arial" w:cs="Arial"/>
          <w:color w:val="000000"/>
          <w:sz w:val="20"/>
          <w:szCs w:val="20"/>
        </w:rPr>
      </w:pPr>
      <w:bookmarkStart w:id="0" w:name="v3329968"/>
      <w:bookmarkEnd w:id="0"/>
      <w:r w:rsidRPr="002A0BE6">
        <w:rPr>
          <w:rFonts w:ascii="Arial" w:eastAsia="Times New Roman" w:hAnsi="Arial" w:cs="Arial"/>
          <w:color w:val="000000"/>
          <w:sz w:val="20"/>
          <w:szCs w:val="20"/>
        </w:rPr>
        <w:t xml:space="preserve">Protracted vomiting is physically exhausting and can cause dehydration, acid-base and electrolyte disturbances, and aspiration pneumonia. </w:t>
      </w:r>
    </w:p>
    <w:p w:rsidR="002A0BE6" w:rsidRDefault="002A0BE6" w:rsidP="002A0BE6">
      <w:pPr>
        <w:pStyle w:val="ListParagraph"/>
        <w:numPr>
          <w:ilvl w:val="0"/>
          <w:numId w:val="1"/>
        </w:numPr>
        <w:shd w:val="clear" w:color="auto" w:fill="FFFFFF"/>
        <w:spacing w:after="288" w:line="336" w:lineRule="atLeast"/>
        <w:rPr>
          <w:rFonts w:ascii="Arial" w:eastAsia="Times New Roman" w:hAnsi="Arial" w:cs="Arial"/>
          <w:color w:val="000000"/>
          <w:sz w:val="20"/>
          <w:szCs w:val="20"/>
        </w:rPr>
      </w:pPr>
      <w:r w:rsidRPr="002A0BE6">
        <w:rPr>
          <w:rFonts w:ascii="Arial" w:eastAsia="Times New Roman" w:hAnsi="Arial" w:cs="Arial"/>
          <w:color w:val="000000"/>
          <w:sz w:val="20"/>
          <w:szCs w:val="20"/>
        </w:rPr>
        <w:t xml:space="preserve">Antiemetic drugs are used to control excessive vomiting once an etiologic diagnosis has been made, to prevent motion sickness and psychogenic vomiting, and to control emesis </w:t>
      </w:r>
      <w:r>
        <w:rPr>
          <w:rFonts w:ascii="Arial" w:eastAsia="Times New Roman" w:hAnsi="Arial" w:cs="Arial"/>
          <w:color w:val="000000"/>
          <w:sz w:val="20"/>
          <w:szCs w:val="20"/>
        </w:rPr>
        <w:t>from radiation and chemotherapy.</w:t>
      </w:r>
    </w:p>
    <w:p w:rsidR="002A0BE6" w:rsidRPr="002A0BE6" w:rsidRDefault="002A0BE6" w:rsidP="002A0BE6">
      <w:pPr>
        <w:pStyle w:val="ListParagraph"/>
        <w:numPr>
          <w:ilvl w:val="0"/>
          <w:numId w:val="1"/>
        </w:numPr>
        <w:shd w:val="clear" w:color="auto" w:fill="FFFFFF"/>
        <w:spacing w:after="288" w:line="336" w:lineRule="atLeast"/>
        <w:rPr>
          <w:rFonts w:ascii="Arial" w:eastAsia="Times New Roman" w:hAnsi="Arial" w:cs="Arial"/>
          <w:color w:val="000000"/>
          <w:sz w:val="20"/>
          <w:szCs w:val="20"/>
        </w:rPr>
      </w:pPr>
      <w:proofErr w:type="spellStart"/>
      <w:r w:rsidRPr="002A0BE6">
        <w:rPr>
          <w:rFonts w:ascii="Arial" w:eastAsia="Times New Roman" w:hAnsi="Arial" w:cs="Arial"/>
          <w:color w:val="000000"/>
          <w:sz w:val="20"/>
          <w:szCs w:val="20"/>
        </w:rPr>
        <w:t>Antiemetics</w:t>
      </w:r>
      <w:proofErr w:type="spellEnd"/>
      <w:r w:rsidRPr="002A0BE6">
        <w:rPr>
          <w:rFonts w:ascii="Arial" w:eastAsia="Times New Roman" w:hAnsi="Arial" w:cs="Arial"/>
          <w:color w:val="000000"/>
          <w:sz w:val="20"/>
          <w:szCs w:val="20"/>
        </w:rPr>
        <w:t xml:space="preserve"> may act peripherally to reduce afferent input from receptors or to inhibit efferent components of the vomiting reflex response. They may also act centrally to block stimulation of the CTZ and emetic center.</w:t>
      </w:r>
    </w:p>
    <w:tbl>
      <w:tblPr>
        <w:tblW w:w="8521" w:type="dxa"/>
        <w:tblCellSpacing w:w="0" w:type="dxa"/>
        <w:shd w:val="clear" w:color="auto" w:fill="FFFFFF"/>
        <w:tblCellMar>
          <w:left w:w="0" w:type="dxa"/>
          <w:right w:w="0" w:type="dxa"/>
        </w:tblCellMar>
        <w:tblLook w:val="04A0" w:firstRow="1" w:lastRow="0" w:firstColumn="1" w:lastColumn="0" w:noHBand="0" w:noVBand="1"/>
      </w:tblPr>
      <w:tblGrid>
        <w:gridCol w:w="60"/>
        <w:gridCol w:w="8403"/>
        <w:gridCol w:w="58"/>
      </w:tblGrid>
      <w:tr w:rsidR="002A0BE6" w:rsidRPr="002A0BE6" w:rsidTr="002A0BE6">
        <w:trPr>
          <w:trHeight w:val="60"/>
          <w:tblCellSpacing w:w="0" w:type="dxa"/>
        </w:trPr>
        <w:tc>
          <w:tcPr>
            <w:tcW w:w="60" w:type="dxa"/>
            <w:shd w:val="clear" w:color="auto" w:fill="FFFFFF"/>
            <w:vAlign w:val="center"/>
            <w:hideMark/>
          </w:tcPr>
          <w:p w:rsidR="002A0BE6" w:rsidRPr="002A0BE6" w:rsidRDefault="002A0BE6" w:rsidP="002A0BE6">
            <w:pPr>
              <w:spacing w:after="0" w:line="60" w:lineRule="atLeast"/>
              <w:rPr>
                <w:rFonts w:ascii="Arial" w:eastAsia="Times New Roman" w:hAnsi="Arial" w:cs="Arial"/>
                <w:sz w:val="19"/>
                <w:szCs w:val="19"/>
              </w:rPr>
            </w:pPr>
            <w:bookmarkStart w:id="1" w:name="v3330022"/>
            <w:bookmarkStart w:id="2" w:name="v3330023"/>
            <w:bookmarkStart w:id="3" w:name="v3330024"/>
            <w:bookmarkStart w:id="4" w:name="v3330026"/>
            <w:bookmarkStart w:id="5" w:name="v3330027"/>
            <w:bookmarkStart w:id="6" w:name="v3330028"/>
            <w:bookmarkStart w:id="7" w:name="v3330029"/>
            <w:bookmarkStart w:id="8" w:name="v3330030"/>
            <w:bookmarkStart w:id="9" w:name="v3330031"/>
            <w:bookmarkStart w:id="10" w:name="v3330032"/>
            <w:bookmarkStart w:id="11" w:name="v3330033"/>
            <w:bookmarkStart w:id="12" w:name="v3330034"/>
            <w:bookmarkStart w:id="13" w:name="v3330035"/>
            <w:bookmarkStart w:id="14" w:name="v3330036"/>
            <w:bookmarkStart w:id="15" w:name="v3330037"/>
            <w:bookmarkStart w:id="16" w:name="v3330038"/>
            <w:bookmarkStart w:id="17" w:name="v3330039"/>
            <w:bookmarkStart w:id="18" w:name="v3330040"/>
            <w:bookmarkStart w:id="19" w:name="v3330041"/>
            <w:bookmarkStart w:id="20" w:name="v3330042"/>
            <w:bookmarkStart w:id="21" w:name="v3330043"/>
            <w:bookmarkStart w:id="22" w:name="v3330044"/>
            <w:bookmarkStart w:id="23" w:name="v3330045"/>
            <w:bookmarkStart w:id="24" w:name="v3330046"/>
            <w:bookmarkStart w:id="25" w:name="v3330047"/>
            <w:bookmarkStart w:id="26" w:name="v3330048"/>
            <w:bookmarkStart w:id="27" w:name="v3330049"/>
            <w:bookmarkStart w:id="28" w:name="v3330050"/>
            <w:bookmarkStart w:id="29" w:name="v3330051"/>
            <w:bookmarkStart w:id="30" w:name="v3330052"/>
            <w:bookmarkStart w:id="31" w:name="v3330053"/>
            <w:bookmarkStart w:id="32" w:name="v3330054"/>
            <w:bookmarkStart w:id="33" w:name="v3330055"/>
            <w:bookmarkStart w:id="34" w:name="v3330056"/>
            <w:bookmarkStart w:id="35" w:name="v3330057"/>
            <w:bookmarkStart w:id="36" w:name="v3330058"/>
            <w:bookmarkStart w:id="37" w:name="v3330059"/>
            <w:bookmarkStart w:id="38" w:name="v3330060"/>
            <w:bookmarkStart w:id="39" w:name="v3330061"/>
            <w:bookmarkStart w:id="40" w:name="v3330062"/>
            <w:bookmarkStart w:id="41" w:name="v3330063"/>
            <w:bookmarkStart w:id="42" w:name="v3330064"/>
            <w:bookmarkStart w:id="43" w:name="v3330065"/>
            <w:bookmarkStart w:id="44" w:name="v3330066"/>
            <w:bookmarkStart w:id="45" w:name="v3330067"/>
            <w:bookmarkStart w:id="46" w:name="v3330068"/>
            <w:bookmarkStart w:id="47" w:name="v3330069"/>
            <w:bookmarkStart w:id="48" w:name="v3330070"/>
            <w:bookmarkStart w:id="49" w:name="v3330071"/>
            <w:bookmarkStart w:id="50" w:name="v3330072"/>
            <w:bookmarkStart w:id="51" w:name="v3330073"/>
            <w:bookmarkStart w:id="52" w:name="v3330074"/>
            <w:bookmarkStart w:id="53" w:name="v3330075"/>
            <w:bookmarkStart w:id="54" w:name="v3330076"/>
            <w:bookmarkStart w:id="55" w:name="v3330077"/>
            <w:bookmarkStart w:id="56" w:name="v3330078"/>
            <w:bookmarkStart w:id="57" w:name="v3330079"/>
            <w:bookmarkStart w:id="58" w:name="v3330080"/>
            <w:bookmarkStart w:id="59" w:name="v3330081"/>
            <w:bookmarkStart w:id="60" w:name="v3330082"/>
            <w:bookmarkStart w:id="61" w:name="v3330083"/>
            <w:bookmarkStart w:id="62" w:name="v3330084"/>
            <w:bookmarkStart w:id="63" w:name="v3330085"/>
            <w:bookmarkStart w:id="64" w:name="v3330086"/>
            <w:bookmarkStart w:id="65" w:name="v3330087"/>
            <w:bookmarkStart w:id="66" w:name="v3330088"/>
            <w:bookmarkStart w:id="67" w:name="v3330089"/>
            <w:bookmarkStart w:id="68" w:name="v3330090"/>
            <w:bookmarkStart w:id="69" w:name="v3330091"/>
            <w:bookmarkStart w:id="70" w:name="v3330092"/>
            <w:bookmarkStart w:id="71" w:name="v3330093"/>
            <w:bookmarkStart w:id="72" w:name="v3330094"/>
            <w:bookmarkStart w:id="73" w:name="v3330095"/>
            <w:bookmarkStart w:id="74" w:name="v3330096"/>
            <w:bookmarkStart w:id="75" w:name="v3330097"/>
            <w:bookmarkStart w:id="76" w:name="v3330098"/>
            <w:bookmarkStart w:id="77" w:name="v3330099"/>
            <w:bookmarkStart w:id="78" w:name="v3330100"/>
            <w:bookmarkStart w:id="79" w:name="v3330101"/>
            <w:bookmarkStart w:id="80" w:name="v3330102"/>
            <w:bookmarkStart w:id="81" w:name="v3330103"/>
            <w:bookmarkStart w:id="82" w:name="v3330104"/>
            <w:bookmarkStart w:id="83" w:name="v3330105"/>
            <w:bookmarkStart w:id="84" w:name="v3330106"/>
            <w:bookmarkStart w:id="85" w:name="v3330107"/>
            <w:bookmarkStart w:id="86" w:name="v3330108"/>
            <w:bookmarkStart w:id="87" w:name="v3330109"/>
            <w:bookmarkStart w:id="88" w:name="v3330110"/>
            <w:bookmarkStart w:id="89" w:name="v3330111"/>
            <w:bookmarkStart w:id="90" w:name="v3330112"/>
            <w:bookmarkStart w:id="91" w:name="v3330113"/>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Pr>
                <w:rFonts w:ascii="Arial" w:eastAsia="Times New Roman" w:hAnsi="Arial" w:cs="Arial"/>
                <w:noProof/>
                <w:sz w:val="19"/>
                <w:szCs w:val="19"/>
              </w:rPr>
              <w:drawing>
                <wp:inline distT="0" distB="0" distL="0" distR="0" wp14:anchorId="4D1735E5" wp14:editId="0E7B5FD2">
                  <wp:extent cx="7620" cy="7620"/>
                  <wp:effectExtent l="0" t="0" r="0" b="0"/>
                  <wp:docPr id="3" name="Picture 3" descr="http://www.merckmanuals.com/site_images/m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merckmanuals.com/site_images/mm/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8403" w:type="dxa"/>
            <w:tcBorders>
              <w:top w:val="single" w:sz="6" w:space="0" w:color="CCCCCC"/>
            </w:tcBorders>
            <w:shd w:val="clear" w:color="auto" w:fill="FFFFFF"/>
            <w:vAlign w:val="center"/>
            <w:hideMark/>
          </w:tcPr>
          <w:p w:rsidR="002A0BE6" w:rsidRPr="002A0BE6" w:rsidRDefault="002A0BE6" w:rsidP="002A0BE6">
            <w:pPr>
              <w:spacing w:after="0" w:line="60" w:lineRule="atLeast"/>
              <w:rPr>
                <w:rFonts w:ascii="Arial" w:eastAsia="Times New Roman" w:hAnsi="Arial" w:cs="Arial"/>
                <w:sz w:val="19"/>
                <w:szCs w:val="19"/>
              </w:rPr>
            </w:pPr>
            <w:r>
              <w:rPr>
                <w:rFonts w:ascii="Arial" w:eastAsia="Times New Roman" w:hAnsi="Arial" w:cs="Arial"/>
                <w:noProof/>
                <w:sz w:val="19"/>
                <w:szCs w:val="19"/>
              </w:rPr>
              <w:drawing>
                <wp:inline distT="0" distB="0" distL="0" distR="0" wp14:anchorId="2E17B5A9" wp14:editId="5EA0DAFA">
                  <wp:extent cx="7620" cy="7620"/>
                  <wp:effectExtent l="0" t="0" r="0" b="0"/>
                  <wp:docPr id="2" name="Picture 2" descr="http://www.merckmanuals.com/site_images/m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merckmanuals.com/site_images/mm/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c>
          <w:tcPr>
            <w:tcW w:w="58" w:type="dxa"/>
            <w:shd w:val="clear" w:color="auto" w:fill="FFFFFF"/>
            <w:vAlign w:val="center"/>
            <w:hideMark/>
          </w:tcPr>
          <w:p w:rsidR="002A0BE6" w:rsidRPr="002A0BE6" w:rsidRDefault="002A0BE6" w:rsidP="002A0BE6">
            <w:pPr>
              <w:spacing w:after="0" w:line="60" w:lineRule="atLeast"/>
              <w:rPr>
                <w:rFonts w:ascii="Arial" w:eastAsia="Times New Roman" w:hAnsi="Arial" w:cs="Arial"/>
                <w:sz w:val="19"/>
                <w:szCs w:val="19"/>
              </w:rPr>
            </w:pPr>
            <w:r>
              <w:rPr>
                <w:rFonts w:ascii="Arial" w:eastAsia="Times New Roman" w:hAnsi="Arial" w:cs="Arial"/>
                <w:noProof/>
                <w:sz w:val="19"/>
                <w:szCs w:val="19"/>
              </w:rPr>
              <w:drawing>
                <wp:inline distT="0" distB="0" distL="0" distR="0" wp14:anchorId="5BFD86B4" wp14:editId="28259816">
                  <wp:extent cx="7620" cy="7620"/>
                  <wp:effectExtent l="0" t="0" r="0" b="0"/>
                  <wp:docPr id="1" name="Picture 1" descr="http://www.merckmanuals.com/site_images/mm/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merckmanuals.com/site_images/mm/s.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2A0BE6" w:rsidRPr="002A0BE6" w:rsidTr="002A0BE6">
        <w:trPr>
          <w:tblCellSpacing w:w="0" w:type="dxa"/>
        </w:trPr>
        <w:tc>
          <w:tcPr>
            <w:tcW w:w="0" w:type="auto"/>
            <w:gridSpan w:val="3"/>
            <w:tcBorders>
              <w:left w:val="single" w:sz="6" w:space="0" w:color="CCCCCC"/>
              <w:bottom w:val="single" w:sz="6" w:space="0" w:color="CCCCCC"/>
              <w:right w:val="single" w:sz="6" w:space="0" w:color="CCCCCC"/>
            </w:tcBorders>
            <w:shd w:val="clear" w:color="auto" w:fill="FFFFFF"/>
            <w:vAlign w:val="center"/>
            <w:hideMark/>
          </w:tcPr>
          <w:tbl>
            <w:tblPr>
              <w:tblW w:w="8490" w:type="dxa"/>
              <w:tblCellSpacing w:w="0" w:type="dxa"/>
              <w:tblCellMar>
                <w:left w:w="0" w:type="dxa"/>
                <w:right w:w="0" w:type="dxa"/>
              </w:tblCellMar>
              <w:tblLook w:val="04A0" w:firstRow="1" w:lastRow="0" w:firstColumn="1" w:lastColumn="0" w:noHBand="0" w:noVBand="1"/>
            </w:tblPr>
            <w:tblGrid>
              <w:gridCol w:w="3478"/>
              <w:gridCol w:w="5012"/>
            </w:tblGrid>
            <w:tr w:rsidR="002A0BE6" w:rsidRPr="002A0BE6" w:rsidTr="002A0BE6">
              <w:trPr>
                <w:tblCellSpacing w:w="0" w:type="dxa"/>
              </w:trPr>
              <w:tc>
                <w:tcPr>
                  <w:tcW w:w="0" w:type="auto"/>
                  <w:gridSpan w:val="2"/>
                  <w:tcBorders>
                    <w:bottom w:val="dotted" w:sz="6" w:space="0" w:color="CCCCCC"/>
                  </w:tcBorders>
                  <w:tcMar>
                    <w:top w:w="0" w:type="dxa"/>
                    <w:left w:w="105" w:type="dxa"/>
                    <w:bottom w:w="0" w:type="dxa"/>
                    <w:right w:w="105" w:type="dxa"/>
                  </w:tcMar>
                  <w:vAlign w:val="center"/>
                  <w:hideMark/>
                </w:tcPr>
                <w:p w:rsidR="002A0BE6" w:rsidRPr="002A0BE6" w:rsidRDefault="002A0BE6" w:rsidP="002A0BE6">
                  <w:pPr>
                    <w:spacing w:after="0" w:line="240" w:lineRule="auto"/>
                    <w:rPr>
                      <w:rFonts w:ascii="Arial" w:eastAsia="Times New Roman" w:hAnsi="Arial" w:cs="Arial"/>
                      <w:b/>
                      <w:bCs/>
                      <w:color w:val="33664D"/>
                      <w:sz w:val="26"/>
                      <w:szCs w:val="26"/>
                    </w:rPr>
                  </w:pPr>
                  <w:r w:rsidRPr="002A0BE6">
                    <w:rPr>
                      <w:rFonts w:ascii="Arial" w:eastAsia="Times New Roman" w:hAnsi="Arial" w:cs="Arial"/>
                      <w:b/>
                      <w:bCs/>
                      <w:color w:val="33664D"/>
                      <w:sz w:val="26"/>
                      <w:szCs w:val="26"/>
                    </w:rPr>
                    <w:t>Antiemetic Drugs</w:t>
                  </w:r>
                </w:p>
              </w:tc>
            </w:tr>
            <w:tr w:rsidR="002A0BE6" w:rsidRPr="002A0BE6" w:rsidTr="002A0BE6">
              <w:tblPrEx>
                <w:tblBorders>
                  <w:top w:val="single" w:sz="18" w:space="0" w:color="auto"/>
                  <w:bottom w:val="single" w:sz="18" w:space="0" w:color="auto"/>
                </w:tblBorders>
              </w:tblPrEx>
              <w:trPr>
                <w:tblCellSpacing w:w="0" w:type="dxa"/>
              </w:trPr>
              <w:tc>
                <w:tcPr>
                  <w:tcW w:w="0" w:type="auto"/>
                  <w:tcBorders>
                    <w:right w:val="single" w:sz="12" w:space="0" w:color="FFFFFF"/>
                  </w:tcBorders>
                  <w:tcMar>
                    <w:top w:w="45" w:type="dxa"/>
                    <w:left w:w="45" w:type="dxa"/>
                    <w:bottom w:w="45" w:type="dxa"/>
                    <w:right w:w="45" w:type="dxa"/>
                  </w:tcMar>
                  <w:hideMark/>
                </w:tcPr>
                <w:p w:rsidR="002A0BE6" w:rsidRPr="002A0BE6" w:rsidRDefault="002A0BE6" w:rsidP="002A0BE6">
                  <w:pPr>
                    <w:spacing w:after="0" w:line="300" w:lineRule="atLeast"/>
                    <w:rPr>
                      <w:rFonts w:ascii="Helvetica" w:eastAsia="Times New Roman" w:hAnsi="Helvetica" w:cs="Helvetica"/>
                      <w:b/>
                      <w:bCs/>
                      <w:color w:val="494949"/>
                      <w:sz w:val="21"/>
                      <w:szCs w:val="21"/>
                    </w:rPr>
                  </w:pPr>
                  <w:r w:rsidRPr="002A0BE6">
                    <w:rPr>
                      <w:rFonts w:ascii="Helvetica" w:eastAsia="Times New Roman" w:hAnsi="Helvetica" w:cs="Helvetica"/>
                      <w:b/>
                      <w:bCs/>
                      <w:color w:val="494949"/>
                      <w:sz w:val="21"/>
                      <w:szCs w:val="21"/>
                    </w:rPr>
                    <w:t>Drug</w:t>
                  </w:r>
                </w:p>
              </w:tc>
              <w:tc>
                <w:tcPr>
                  <w:tcW w:w="0" w:type="auto"/>
                  <w:tcBorders>
                    <w:right w:val="single" w:sz="12" w:space="0" w:color="FFFFFF"/>
                  </w:tcBorders>
                  <w:tcMar>
                    <w:top w:w="45" w:type="dxa"/>
                    <w:left w:w="45" w:type="dxa"/>
                    <w:bottom w:w="45" w:type="dxa"/>
                    <w:right w:w="45" w:type="dxa"/>
                  </w:tcMar>
                  <w:hideMark/>
                </w:tcPr>
                <w:p w:rsidR="002A0BE6" w:rsidRPr="002A0BE6" w:rsidRDefault="002A0BE6" w:rsidP="002A0BE6">
                  <w:pPr>
                    <w:spacing w:after="0" w:line="300" w:lineRule="atLeast"/>
                    <w:rPr>
                      <w:rFonts w:ascii="Helvetica" w:eastAsia="Times New Roman" w:hAnsi="Helvetica" w:cs="Helvetica"/>
                      <w:b/>
                      <w:bCs/>
                      <w:color w:val="494949"/>
                      <w:sz w:val="21"/>
                      <w:szCs w:val="21"/>
                    </w:rPr>
                  </w:pPr>
                  <w:r w:rsidRPr="002A0BE6">
                    <w:rPr>
                      <w:rFonts w:ascii="Helvetica" w:eastAsia="Times New Roman" w:hAnsi="Helvetica" w:cs="Helvetica"/>
                      <w:b/>
                      <w:bCs/>
                      <w:color w:val="494949"/>
                      <w:sz w:val="21"/>
                      <w:szCs w:val="21"/>
                    </w:rPr>
                    <w:t>Dosage</w:t>
                  </w:r>
                </w:p>
              </w:tc>
            </w:tr>
          </w:tbl>
          <w:p w:rsidR="002A0BE6" w:rsidRPr="002A0BE6" w:rsidRDefault="002A0BE6" w:rsidP="002A0BE6">
            <w:pPr>
              <w:spacing w:after="0" w:line="240" w:lineRule="auto"/>
              <w:rPr>
                <w:rFonts w:ascii="Arial" w:eastAsia="Times New Roman" w:hAnsi="Arial" w:cs="Arial"/>
                <w:vanish/>
                <w:sz w:val="19"/>
                <w:szCs w:val="19"/>
              </w:rPr>
            </w:pPr>
          </w:p>
          <w:tbl>
            <w:tblPr>
              <w:tblW w:w="8235" w:type="dxa"/>
              <w:tblCellSpacing w:w="0" w:type="dxa"/>
              <w:tblCellMar>
                <w:left w:w="0" w:type="dxa"/>
                <w:right w:w="0" w:type="dxa"/>
              </w:tblCellMar>
              <w:tblLook w:val="04A0" w:firstRow="1" w:lastRow="0" w:firstColumn="1" w:lastColumn="0" w:noHBand="0" w:noVBand="1"/>
            </w:tblPr>
            <w:tblGrid>
              <w:gridCol w:w="1748"/>
              <w:gridCol w:w="6487"/>
            </w:tblGrid>
            <w:tr w:rsidR="002A0BE6" w:rsidRPr="002A0BE6" w:rsidTr="002A0BE6">
              <w:trPr>
                <w:tblCellSpacing w:w="0" w:type="dxa"/>
              </w:trPr>
              <w:tc>
                <w:tcPr>
                  <w:tcW w:w="0" w:type="auto"/>
                  <w:tcBorders>
                    <w:right w:val="single" w:sz="12" w:space="0" w:color="FFFFFF"/>
                  </w:tcBorders>
                  <w:shd w:val="clear" w:color="auto" w:fill="FFFFFF"/>
                  <w:tcMar>
                    <w:top w:w="45" w:type="dxa"/>
                    <w:left w:w="45" w:type="dxa"/>
                    <w:bottom w:w="45" w:type="dxa"/>
                    <w:right w:w="45" w:type="dxa"/>
                  </w:tcMar>
                  <w:hideMark/>
                </w:tcPr>
                <w:p w:rsidR="002A0BE6" w:rsidRPr="002A0BE6" w:rsidRDefault="002A0BE6" w:rsidP="002A0BE6">
                  <w:pPr>
                    <w:spacing w:before="90" w:after="90" w:line="336" w:lineRule="atLeast"/>
                    <w:ind w:left="90" w:right="90" w:hanging="120"/>
                    <w:rPr>
                      <w:rFonts w:ascii="Arial" w:eastAsia="Times New Roman" w:hAnsi="Arial" w:cs="Arial"/>
                      <w:color w:val="666666"/>
                      <w:sz w:val="20"/>
                      <w:szCs w:val="20"/>
                    </w:rPr>
                  </w:pPr>
                  <w:proofErr w:type="spellStart"/>
                  <w:r w:rsidRPr="002A0BE6">
                    <w:rPr>
                      <w:rFonts w:ascii="Arial" w:eastAsia="Times New Roman" w:hAnsi="Arial" w:cs="Arial"/>
                      <w:color w:val="666666"/>
                      <w:sz w:val="20"/>
                      <w:szCs w:val="20"/>
                    </w:rPr>
                    <w:t>Acepromazine</w:t>
                  </w:r>
                  <w:proofErr w:type="spellEnd"/>
                </w:p>
              </w:tc>
              <w:tc>
                <w:tcPr>
                  <w:tcW w:w="0" w:type="auto"/>
                  <w:tcBorders>
                    <w:right w:val="single" w:sz="12" w:space="0" w:color="FFFFFF"/>
                  </w:tcBorders>
                  <w:shd w:val="clear" w:color="auto" w:fill="FFFFFF"/>
                  <w:tcMar>
                    <w:top w:w="45" w:type="dxa"/>
                    <w:left w:w="45" w:type="dxa"/>
                    <w:bottom w:w="45" w:type="dxa"/>
                    <w:right w:w="45" w:type="dxa"/>
                  </w:tcMar>
                  <w:hideMark/>
                </w:tcPr>
                <w:p w:rsidR="002A0BE6" w:rsidRPr="002A0BE6" w:rsidRDefault="002A0BE6" w:rsidP="002A0BE6">
                  <w:pPr>
                    <w:spacing w:before="90" w:after="90" w:line="336" w:lineRule="atLeast"/>
                    <w:ind w:left="90" w:right="90" w:hanging="120"/>
                    <w:rPr>
                      <w:rFonts w:ascii="Arial" w:eastAsia="Times New Roman" w:hAnsi="Arial" w:cs="Arial"/>
                      <w:color w:val="666666"/>
                      <w:sz w:val="20"/>
                      <w:szCs w:val="20"/>
                    </w:rPr>
                  </w:pPr>
                  <w:r w:rsidRPr="002A0BE6">
                    <w:rPr>
                      <w:rFonts w:ascii="Arial" w:eastAsia="Times New Roman" w:hAnsi="Arial" w:cs="Arial"/>
                      <w:color w:val="666666"/>
                      <w:sz w:val="20"/>
                      <w:szCs w:val="20"/>
                    </w:rPr>
                    <w:t>0.025–0.2 mg/kg, IV, IM, SC, maximum 3 mg; 1–3 mg/kg, PO</w:t>
                  </w:r>
                </w:p>
              </w:tc>
            </w:tr>
            <w:tr w:rsidR="002A0BE6" w:rsidRPr="002A0BE6" w:rsidTr="002A0BE6">
              <w:trPr>
                <w:tblCellSpacing w:w="0" w:type="dxa"/>
              </w:trPr>
              <w:tc>
                <w:tcPr>
                  <w:tcW w:w="0" w:type="auto"/>
                  <w:tcBorders>
                    <w:right w:val="single" w:sz="12" w:space="0" w:color="FFFFFF"/>
                  </w:tcBorders>
                  <w:shd w:val="clear" w:color="auto" w:fill="EEEEEE"/>
                  <w:tcMar>
                    <w:top w:w="45" w:type="dxa"/>
                    <w:left w:w="45" w:type="dxa"/>
                    <w:bottom w:w="45" w:type="dxa"/>
                    <w:right w:w="45" w:type="dxa"/>
                  </w:tcMar>
                  <w:hideMark/>
                </w:tcPr>
                <w:p w:rsidR="002A0BE6" w:rsidRPr="002A0BE6" w:rsidRDefault="002A0BE6" w:rsidP="002A0BE6">
                  <w:pPr>
                    <w:spacing w:before="90" w:after="90" w:line="336" w:lineRule="atLeast"/>
                    <w:ind w:left="90" w:right="90" w:hanging="120"/>
                    <w:rPr>
                      <w:rFonts w:ascii="Arial" w:eastAsia="Times New Roman" w:hAnsi="Arial" w:cs="Arial"/>
                      <w:color w:val="666666"/>
                      <w:sz w:val="20"/>
                      <w:szCs w:val="20"/>
                    </w:rPr>
                  </w:pPr>
                  <w:r w:rsidRPr="002A0BE6">
                    <w:rPr>
                      <w:rFonts w:ascii="Arial" w:eastAsia="Times New Roman" w:hAnsi="Arial" w:cs="Arial"/>
                      <w:color w:val="666666"/>
                      <w:sz w:val="20"/>
                      <w:szCs w:val="20"/>
                    </w:rPr>
                    <w:t>Chlorpromazine</w:t>
                  </w:r>
                </w:p>
              </w:tc>
              <w:tc>
                <w:tcPr>
                  <w:tcW w:w="0" w:type="auto"/>
                  <w:tcBorders>
                    <w:right w:val="single" w:sz="12" w:space="0" w:color="FFFFFF"/>
                  </w:tcBorders>
                  <w:shd w:val="clear" w:color="auto" w:fill="EEEEEE"/>
                  <w:tcMar>
                    <w:top w:w="45" w:type="dxa"/>
                    <w:left w:w="45" w:type="dxa"/>
                    <w:bottom w:w="45" w:type="dxa"/>
                    <w:right w:w="45" w:type="dxa"/>
                  </w:tcMar>
                  <w:hideMark/>
                </w:tcPr>
                <w:p w:rsidR="002A0BE6" w:rsidRPr="002A0BE6" w:rsidRDefault="002A0BE6" w:rsidP="002A0BE6">
                  <w:pPr>
                    <w:spacing w:before="90" w:after="90" w:line="336" w:lineRule="atLeast"/>
                    <w:ind w:left="90" w:right="90" w:hanging="120"/>
                    <w:rPr>
                      <w:rFonts w:ascii="Arial" w:eastAsia="Times New Roman" w:hAnsi="Arial" w:cs="Arial"/>
                      <w:color w:val="666666"/>
                      <w:sz w:val="20"/>
                      <w:szCs w:val="20"/>
                    </w:rPr>
                  </w:pPr>
                  <w:r w:rsidRPr="002A0BE6">
                    <w:rPr>
                      <w:rFonts w:ascii="Arial" w:eastAsia="Times New Roman" w:hAnsi="Arial" w:cs="Arial"/>
                      <w:color w:val="666666"/>
                      <w:sz w:val="20"/>
                      <w:szCs w:val="20"/>
                    </w:rPr>
                    <w:t xml:space="preserve">0.5 mg/kg, IV, IM, SC, </w:t>
                  </w:r>
                  <w:proofErr w:type="spellStart"/>
                  <w:r w:rsidRPr="002A0BE6">
                    <w:rPr>
                      <w:rFonts w:ascii="Arial" w:eastAsia="Times New Roman" w:hAnsi="Arial" w:cs="Arial"/>
                      <w:color w:val="666666"/>
                      <w:sz w:val="20"/>
                      <w:szCs w:val="20"/>
                    </w:rPr>
                    <w:t>tid-qid</w:t>
                  </w:r>
                  <w:proofErr w:type="spellEnd"/>
                </w:p>
              </w:tc>
            </w:tr>
            <w:tr w:rsidR="002A0BE6" w:rsidRPr="002A0BE6" w:rsidTr="002A0BE6">
              <w:trPr>
                <w:tblCellSpacing w:w="0" w:type="dxa"/>
              </w:trPr>
              <w:tc>
                <w:tcPr>
                  <w:tcW w:w="0" w:type="auto"/>
                  <w:tcBorders>
                    <w:right w:val="single" w:sz="12" w:space="0" w:color="FFFFFF"/>
                  </w:tcBorders>
                  <w:shd w:val="clear" w:color="auto" w:fill="FFFFFF"/>
                  <w:tcMar>
                    <w:top w:w="45" w:type="dxa"/>
                    <w:left w:w="45" w:type="dxa"/>
                    <w:bottom w:w="45" w:type="dxa"/>
                    <w:right w:w="45" w:type="dxa"/>
                  </w:tcMar>
                  <w:hideMark/>
                </w:tcPr>
                <w:p w:rsidR="002A0BE6" w:rsidRPr="002A0BE6" w:rsidRDefault="002A0BE6" w:rsidP="002A0BE6">
                  <w:pPr>
                    <w:spacing w:before="90" w:after="90" w:line="336" w:lineRule="atLeast"/>
                    <w:ind w:left="90" w:right="90" w:hanging="120"/>
                    <w:rPr>
                      <w:rFonts w:ascii="Arial" w:eastAsia="Times New Roman" w:hAnsi="Arial" w:cs="Arial"/>
                      <w:color w:val="666666"/>
                      <w:sz w:val="20"/>
                      <w:szCs w:val="20"/>
                    </w:rPr>
                  </w:pPr>
                  <w:proofErr w:type="spellStart"/>
                  <w:r w:rsidRPr="002A0BE6">
                    <w:rPr>
                      <w:rFonts w:ascii="Arial" w:eastAsia="Times New Roman" w:hAnsi="Arial" w:cs="Arial"/>
                      <w:color w:val="666666"/>
                      <w:sz w:val="20"/>
                      <w:szCs w:val="20"/>
                    </w:rPr>
                    <w:t>Prochlorperazine</w:t>
                  </w:r>
                  <w:proofErr w:type="spellEnd"/>
                </w:p>
              </w:tc>
              <w:tc>
                <w:tcPr>
                  <w:tcW w:w="0" w:type="auto"/>
                  <w:tcBorders>
                    <w:right w:val="single" w:sz="12" w:space="0" w:color="FFFFFF"/>
                  </w:tcBorders>
                  <w:shd w:val="clear" w:color="auto" w:fill="FFFFFF"/>
                  <w:tcMar>
                    <w:top w:w="45" w:type="dxa"/>
                    <w:left w:w="45" w:type="dxa"/>
                    <w:bottom w:w="45" w:type="dxa"/>
                    <w:right w:w="45" w:type="dxa"/>
                  </w:tcMar>
                  <w:hideMark/>
                </w:tcPr>
                <w:p w:rsidR="002A0BE6" w:rsidRPr="002A0BE6" w:rsidRDefault="002A0BE6" w:rsidP="002A0BE6">
                  <w:pPr>
                    <w:spacing w:before="90" w:after="90" w:line="336" w:lineRule="atLeast"/>
                    <w:ind w:left="90" w:right="90" w:hanging="120"/>
                    <w:rPr>
                      <w:rFonts w:ascii="Arial" w:eastAsia="Times New Roman" w:hAnsi="Arial" w:cs="Arial"/>
                      <w:color w:val="666666"/>
                      <w:sz w:val="20"/>
                      <w:szCs w:val="20"/>
                    </w:rPr>
                  </w:pPr>
                  <w:r w:rsidRPr="002A0BE6">
                    <w:rPr>
                      <w:rFonts w:ascii="Arial" w:eastAsia="Times New Roman" w:hAnsi="Arial" w:cs="Arial"/>
                      <w:color w:val="666666"/>
                      <w:sz w:val="20"/>
                      <w:szCs w:val="20"/>
                    </w:rPr>
                    <w:t xml:space="preserve">0.1 mg/kg, IM, </w:t>
                  </w:r>
                  <w:proofErr w:type="spellStart"/>
                  <w:r w:rsidRPr="002A0BE6">
                    <w:rPr>
                      <w:rFonts w:ascii="Arial" w:eastAsia="Times New Roman" w:hAnsi="Arial" w:cs="Arial"/>
                      <w:color w:val="666666"/>
                      <w:sz w:val="20"/>
                      <w:szCs w:val="20"/>
                    </w:rPr>
                    <w:t>tid-qid</w:t>
                  </w:r>
                  <w:proofErr w:type="spellEnd"/>
                  <w:r w:rsidRPr="002A0BE6">
                    <w:rPr>
                      <w:rFonts w:ascii="Arial" w:eastAsia="Times New Roman" w:hAnsi="Arial" w:cs="Arial"/>
                      <w:color w:val="666666"/>
                      <w:sz w:val="20"/>
                      <w:szCs w:val="20"/>
                    </w:rPr>
                    <w:t>; 1 mg/kg, PO, bid</w:t>
                  </w:r>
                </w:p>
              </w:tc>
            </w:tr>
            <w:tr w:rsidR="002A0BE6" w:rsidRPr="002A0BE6" w:rsidTr="002A0BE6">
              <w:trPr>
                <w:tblCellSpacing w:w="0" w:type="dxa"/>
              </w:trPr>
              <w:tc>
                <w:tcPr>
                  <w:tcW w:w="0" w:type="auto"/>
                  <w:tcBorders>
                    <w:right w:val="single" w:sz="12" w:space="0" w:color="FFFFFF"/>
                  </w:tcBorders>
                  <w:shd w:val="clear" w:color="auto" w:fill="EEEEEE"/>
                  <w:tcMar>
                    <w:top w:w="45" w:type="dxa"/>
                    <w:left w:w="45" w:type="dxa"/>
                    <w:bottom w:w="45" w:type="dxa"/>
                    <w:right w:w="45" w:type="dxa"/>
                  </w:tcMar>
                  <w:hideMark/>
                </w:tcPr>
                <w:p w:rsidR="002A0BE6" w:rsidRPr="002A0BE6" w:rsidRDefault="002A0BE6" w:rsidP="002A0BE6">
                  <w:pPr>
                    <w:spacing w:before="90" w:after="90" w:line="336" w:lineRule="atLeast"/>
                    <w:ind w:left="90" w:right="90" w:hanging="120"/>
                    <w:rPr>
                      <w:rFonts w:ascii="Arial" w:eastAsia="Times New Roman" w:hAnsi="Arial" w:cs="Arial"/>
                      <w:color w:val="666666"/>
                      <w:sz w:val="20"/>
                      <w:szCs w:val="20"/>
                    </w:rPr>
                  </w:pPr>
                  <w:r w:rsidRPr="002A0BE6">
                    <w:rPr>
                      <w:rFonts w:ascii="Arial" w:eastAsia="Times New Roman" w:hAnsi="Arial" w:cs="Arial"/>
                      <w:color w:val="666666"/>
                      <w:sz w:val="20"/>
                      <w:szCs w:val="20"/>
                    </w:rPr>
                    <w:t>Promethazine</w:t>
                  </w:r>
                </w:p>
              </w:tc>
              <w:tc>
                <w:tcPr>
                  <w:tcW w:w="0" w:type="auto"/>
                  <w:tcBorders>
                    <w:right w:val="single" w:sz="12" w:space="0" w:color="FFFFFF"/>
                  </w:tcBorders>
                  <w:shd w:val="clear" w:color="auto" w:fill="EEEEEE"/>
                  <w:tcMar>
                    <w:top w:w="45" w:type="dxa"/>
                    <w:left w:w="45" w:type="dxa"/>
                    <w:bottom w:w="45" w:type="dxa"/>
                    <w:right w:w="45" w:type="dxa"/>
                  </w:tcMar>
                  <w:hideMark/>
                </w:tcPr>
                <w:p w:rsidR="002A0BE6" w:rsidRPr="002A0BE6" w:rsidRDefault="002A0BE6" w:rsidP="002A0BE6">
                  <w:pPr>
                    <w:spacing w:before="90" w:after="90" w:line="336" w:lineRule="atLeast"/>
                    <w:ind w:left="90" w:right="90" w:hanging="120"/>
                    <w:rPr>
                      <w:rFonts w:ascii="Arial" w:eastAsia="Times New Roman" w:hAnsi="Arial" w:cs="Arial"/>
                      <w:color w:val="666666"/>
                      <w:sz w:val="20"/>
                      <w:szCs w:val="20"/>
                    </w:rPr>
                  </w:pPr>
                  <w:r w:rsidRPr="002A0BE6">
                    <w:rPr>
                      <w:rFonts w:ascii="Arial" w:eastAsia="Times New Roman" w:hAnsi="Arial" w:cs="Arial"/>
                      <w:color w:val="666666"/>
                      <w:sz w:val="20"/>
                      <w:szCs w:val="20"/>
                    </w:rPr>
                    <w:t xml:space="preserve">2 mg/kg, PO or IM, </w:t>
                  </w:r>
                  <w:proofErr w:type="spellStart"/>
                  <w:r w:rsidRPr="002A0BE6">
                    <w:rPr>
                      <w:rFonts w:ascii="Arial" w:eastAsia="Times New Roman" w:hAnsi="Arial" w:cs="Arial"/>
                      <w:color w:val="666666"/>
                      <w:sz w:val="20"/>
                      <w:szCs w:val="20"/>
                    </w:rPr>
                    <w:t>sid</w:t>
                  </w:r>
                  <w:proofErr w:type="spellEnd"/>
                </w:p>
              </w:tc>
            </w:tr>
            <w:tr w:rsidR="002A0BE6" w:rsidRPr="002A0BE6" w:rsidTr="002A0BE6">
              <w:trPr>
                <w:tblCellSpacing w:w="0" w:type="dxa"/>
              </w:trPr>
              <w:tc>
                <w:tcPr>
                  <w:tcW w:w="0" w:type="auto"/>
                  <w:tcBorders>
                    <w:right w:val="single" w:sz="12" w:space="0" w:color="FFFFFF"/>
                  </w:tcBorders>
                  <w:shd w:val="clear" w:color="auto" w:fill="FFFFFF"/>
                  <w:tcMar>
                    <w:top w:w="45" w:type="dxa"/>
                    <w:left w:w="45" w:type="dxa"/>
                    <w:bottom w:w="45" w:type="dxa"/>
                    <w:right w:w="45" w:type="dxa"/>
                  </w:tcMar>
                  <w:hideMark/>
                </w:tcPr>
                <w:p w:rsidR="002A0BE6" w:rsidRPr="002A0BE6" w:rsidRDefault="002A0BE6" w:rsidP="002A0BE6">
                  <w:pPr>
                    <w:spacing w:before="90" w:after="90" w:line="336" w:lineRule="atLeast"/>
                    <w:ind w:left="90" w:right="90" w:hanging="120"/>
                    <w:rPr>
                      <w:rFonts w:ascii="Arial" w:eastAsia="Times New Roman" w:hAnsi="Arial" w:cs="Arial"/>
                      <w:color w:val="666666"/>
                      <w:sz w:val="20"/>
                      <w:szCs w:val="20"/>
                    </w:rPr>
                  </w:pPr>
                  <w:proofErr w:type="spellStart"/>
                  <w:r w:rsidRPr="002A0BE6">
                    <w:rPr>
                      <w:rFonts w:ascii="Arial" w:eastAsia="Times New Roman" w:hAnsi="Arial" w:cs="Arial"/>
                      <w:color w:val="666666"/>
                      <w:sz w:val="20"/>
                      <w:szCs w:val="20"/>
                    </w:rPr>
                    <w:t>Isopropamide</w:t>
                  </w:r>
                  <w:proofErr w:type="spellEnd"/>
                </w:p>
              </w:tc>
              <w:tc>
                <w:tcPr>
                  <w:tcW w:w="0" w:type="auto"/>
                  <w:tcBorders>
                    <w:right w:val="single" w:sz="12" w:space="0" w:color="FFFFFF"/>
                  </w:tcBorders>
                  <w:shd w:val="clear" w:color="auto" w:fill="FFFFFF"/>
                  <w:tcMar>
                    <w:top w:w="45" w:type="dxa"/>
                    <w:left w:w="45" w:type="dxa"/>
                    <w:bottom w:w="45" w:type="dxa"/>
                    <w:right w:w="45" w:type="dxa"/>
                  </w:tcMar>
                  <w:hideMark/>
                </w:tcPr>
                <w:p w:rsidR="002A0BE6" w:rsidRPr="002A0BE6" w:rsidRDefault="002A0BE6" w:rsidP="002A0BE6">
                  <w:pPr>
                    <w:spacing w:before="90" w:after="90" w:line="336" w:lineRule="atLeast"/>
                    <w:ind w:left="90" w:right="90" w:hanging="120"/>
                    <w:rPr>
                      <w:rFonts w:ascii="Arial" w:eastAsia="Times New Roman" w:hAnsi="Arial" w:cs="Arial"/>
                      <w:color w:val="666666"/>
                      <w:sz w:val="20"/>
                      <w:szCs w:val="20"/>
                    </w:rPr>
                  </w:pPr>
                  <w:r w:rsidRPr="002A0BE6">
                    <w:rPr>
                      <w:rFonts w:ascii="Arial" w:eastAsia="Times New Roman" w:hAnsi="Arial" w:cs="Arial"/>
                      <w:color w:val="666666"/>
                      <w:sz w:val="20"/>
                      <w:szCs w:val="20"/>
                    </w:rPr>
                    <w:t>0.2–1.0 mg/kg, PO, bid</w:t>
                  </w:r>
                </w:p>
              </w:tc>
            </w:tr>
            <w:tr w:rsidR="002A0BE6" w:rsidRPr="002A0BE6" w:rsidTr="002A0BE6">
              <w:trPr>
                <w:tblCellSpacing w:w="0" w:type="dxa"/>
              </w:trPr>
              <w:tc>
                <w:tcPr>
                  <w:tcW w:w="0" w:type="auto"/>
                  <w:tcBorders>
                    <w:right w:val="single" w:sz="12" w:space="0" w:color="FFFFFF"/>
                  </w:tcBorders>
                  <w:shd w:val="clear" w:color="auto" w:fill="EEEEEE"/>
                  <w:tcMar>
                    <w:top w:w="45" w:type="dxa"/>
                    <w:left w:w="45" w:type="dxa"/>
                    <w:bottom w:w="45" w:type="dxa"/>
                    <w:right w:w="45" w:type="dxa"/>
                  </w:tcMar>
                  <w:hideMark/>
                </w:tcPr>
                <w:p w:rsidR="002A0BE6" w:rsidRPr="002A0BE6" w:rsidRDefault="002A0BE6" w:rsidP="002A0BE6">
                  <w:pPr>
                    <w:spacing w:before="90" w:after="90" w:line="336" w:lineRule="atLeast"/>
                    <w:ind w:left="90" w:right="90" w:hanging="120"/>
                    <w:rPr>
                      <w:rFonts w:ascii="Arial" w:eastAsia="Times New Roman" w:hAnsi="Arial" w:cs="Arial"/>
                      <w:color w:val="666666"/>
                      <w:sz w:val="20"/>
                      <w:szCs w:val="20"/>
                    </w:rPr>
                  </w:pPr>
                  <w:proofErr w:type="spellStart"/>
                  <w:r w:rsidRPr="002A0BE6">
                    <w:rPr>
                      <w:rFonts w:ascii="Arial" w:eastAsia="Times New Roman" w:hAnsi="Arial" w:cs="Arial"/>
                      <w:color w:val="666666"/>
                      <w:sz w:val="20"/>
                      <w:szCs w:val="20"/>
                    </w:rPr>
                    <w:t>Propantheline</w:t>
                  </w:r>
                  <w:proofErr w:type="spellEnd"/>
                </w:p>
              </w:tc>
              <w:tc>
                <w:tcPr>
                  <w:tcW w:w="0" w:type="auto"/>
                  <w:tcBorders>
                    <w:right w:val="single" w:sz="12" w:space="0" w:color="FFFFFF"/>
                  </w:tcBorders>
                  <w:shd w:val="clear" w:color="auto" w:fill="EEEEEE"/>
                  <w:tcMar>
                    <w:top w:w="45" w:type="dxa"/>
                    <w:left w:w="45" w:type="dxa"/>
                    <w:bottom w:w="45" w:type="dxa"/>
                    <w:right w:w="45" w:type="dxa"/>
                  </w:tcMar>
                  <w:hideMark/>
                </w:tcPr>
                <w:p w:rsidR="002A0BE6" w:rsidRPr="002A0BE6" w:rsidRDefault="002A0BE6" w:rsidP="002A0BE6">
                  <w:pPr>
                    <w:spacing w:before="90" w:after="90" w:line="336" w:lineRule="atLeast"/>
                    <w:ind w:left="90" w:right="90" w:hanging="120"/>
                    <w:rPr>
                      <w:rFonts w:ascii="Arial" w:eastAsia="Times New Roman" w:hAnsi="Arial" w:cs="Arial"/>
                      <w:color w:val="666666"/>
                      <w:sz w:val="20"/>
                      <w:szCs w:val="20"/>
                    </w:rPr>
                  </w:pPr>
                  <w:r w:rsidRPr="002A0BE6">
                    <w:rPr>
                      <w:rFonts w:ascii="Arial" w:eastAsia="Times New Roman" w:hAnsi="Arial" w:cs="Arial"/>
                      <w:color w:val="666666"/>
                      <w:sz w:val="20"/>
                      <w:szCs w:val="20"/>
                    </w:rPr>
                    <w:t xml:space="preserve">0.25 mg/kg, PO, </w:t>
                  </w:r>
                  <w:proofErr w:type="spellStart"/>
                  <w:r w:rsidRPr="002A0BE6">
                    <w:rPr>
                      <w:rFonts w:ascii="Arial" w:eastAsia="Times New Roman" w:hAnsi="Arial" w:cs="Arial"/>
                      <w:color w:val="666666"/>
                      <w:sz w:val="20"/>
                      <w:szCs w:val="20"/>
                    </w:rPr>
                    <w:t>tid</w:t>
                  </w:r>
                  <w:proofErr w:type="spellEnd"/>
                </w:p>
              </w:tc>
            </w:tr>
            <w:tr w:rsidR="002A0BE6" w:rsidRPr="002A0BE6" w:rsidTr="002A0BE6">
              <w:trPr>
                <w:tblCellSpacing w:w="0" w:type="dxa"/>
              </w:trPr>
              <w:tc>
                <w:tcPr>
                  <w:tcW w:w="0" w:type="auto"/>
                  <w:tcBorders>
                    <w:right w:val="single" w:sz="12" w:space="0" w:color="FFFFFF"/>
                  </w:tcBorders>
                  <w:shd w:val="clear" w:color="auto" w:fill="FFFFFF"/>
                  <w:tcMar>
                    <w:top w:w="45" w:type="dxa"/>
                    <w:left w:w="45" w:type="dxa"/>
                    <w:bottom w:w="45" w:type="dxa"/>
                    <w:right w:w="45" w:type="dxa"/>
                  </w:tcMar>
                  <w:hideMark/>
                </w:tcPr>
                <w:p w:rsidR="002A0BE6" w:rsidRPr="002A0BE6" w:rsidRDefault="002A0BE6" w:rsidP="002A0BE6">
                  <w:pPr>
                    <w:spacing w:before="90" w:after="90" w:line="336" w:lineRule="atLeast"/>
                    <w:ind w:left="90" w:right="90" w:hanging="120"/>
                    <w:rPr>
                      <w:rFonts w:ascii="Arial" w:eastAsia="Times New Roman" w:hAnsi="Arial" w:cs="Arial"/>
                      <w:color w:val="666666"/>
                      <w:sz w:val="20"/>
                      <w:szCs w:val="20"/>
                    </w:rPr>
                  </w:pPr>
                  <w:proofErr w:type="spellStart"/>
                  <w:r w:rsidRPr="002A0BE6">
                    <w:rPr>
                      <w:rFonts w:ascii="Arial" w:eastAsia="Times New Roman" w:hAnsi="Arial" w:cs="Arial"/>
                      <w:color w:val="666666"/>
                      <w:sz w:val="20"/>
                      <w:szCs w:val="20"/>
                    </w:rPr>
                    <w:t>Dimenhydrinate</w:t>
                  </w:r>
                  <w:proofErr w:type="spellEnd"/>
                </w:p>
              </w:tc>
              <w:tc>
                <w:tcPr>
                  <w:tcW w:w="0" w:type="auto"/>
                  <w:tcBorders>
                    <w:right w:val="single" w:sz="12" w:space="0" w:color="FFFFFF"/>
                  </w:tcBorders>
                  <w:shd w:val="clear" w:color="auto" w:fill="FFFFFF"/>
                  <w:tcMar>
                    <w:top w:w="45" w:type="dxa"/>
                    <w:left w:w="45" w:type="dxa"/>
                    <w:bottom w:w="45" w:type="dxa"/>
                    <w:right w:w="45" w:type="dxa"/>
                  </w:tcMar>
                  <w:hideMark/>
                </w:tcPr>
                <w:p w:rsidR="002A0BE6" w:rsidRPr="002A0BE6" w:rsidRDefault="002A0BE6" w:rsidP="002A0BE6">
                  <w:pPr>
                    <w:spacing w:before="90" w:after="90" w:line="336" w:lineRule="atLeast"/>
                    <w:ind w:left="90" w:right="90" w:hanging="120"/>
                    <w:rPr>
                      <w:rFonts w:ascii="Arial" w:eastAsia="Times New Roman" w:hAnsi="Arial" w:cs="Arial"/>
                      <w:color w:val="666666"/>
                      <w:sz w:val="20"/>
                      <w:szCs w:val="20"/>
                    </w:rPr>
                  </w:pPr>
                  <w:r w:rsidRPr="002A0BE6">
                    <w:rPr>
                      <w:rFonts w:ascii="Arial" w:eastAsia="Times New Roman" w:hAnsi="Arial" w:cs="Arial"/>
                      <w:color w:val="666666"/>
                      <w:sz w:val="20"/>
                      <w:szCs w:val="20"/>
                    </w:rPr>
                    <w:t xml:space="preserve">4–8 mg/kg, PO, </w:t>
                  </w:r>
                  <w:proofErr w:type="spellStart"/>
                  <w:r w:rsidRPr="002A0BE6">
                    <w:rPr>
                      <w:rFonts w:ascii="Arial" w:eastAsia="Times New Roman" w:hAnsi="Arial" w:cs="Arial"/>
                      <w:color w:val="666666"/>
                      <w:sz w:val="20"/>
                      <w:szCs w:val="20"/>
                    </w:rPr>
                    <w:t>tid</w:t>
                  </w:r>
                  <w:proofErr w:type="spellEnd"/>
                </w:p>
              </w:tc>
            </w:tr>
            <w:tr w:rsidR="002A0BE6" w:rsidRPr="002A0BE6" w:rsidTr="002A0BE6">
              <w:trPr>
                <w:tblCellSpacing w:w="0" w:type="dxa"/>
              </w:trPr>
              <w:tc>
                <w:tcPr>
                  <w:tcW w:w="0" w:type="auto"/>
                  <w:tcBorders>
                    <w:right w:val="single" w:sz="12" w:space="0" w:color="FFFFFF"/>
                  </w:tcBorders>
                  <w:shd w:val="clear" w:color="auto" w:fill="EEEEEE"/>
                  <w:tcMar>
                    <w:top w:w="45" w:type="dxa"/>
                    <w:left w:w="45" w:type="dxa"/>
                    <w:bottom w:w="45" w:type="dxa"/>
                    <w:right w:w="45" w:type="dxa"/>
                  </w:tcMar>
                  <w:hideMark/>
                </w:tcPr>
                <w:p w:rsidR="002A0BE6" w:rsidRPr="002A0BE6" w:rsidRDefault="002A0BE6" w:rsidP="002A0BE6">
                  <w:pPr>
                    <w:spacing w:before="90" w:after="90" w:line="336" w:lineRule="atLeast"/>
                    <w:ind w:left="90" w:right="90" w:hanging="120"/>
                    <w:rPr>
                      <w:rFonts w:ascii="Arial" w:eastAsia="Times New Roman" w:hAnsi="Arial" w:cs="Arial"/>
                      <w:color w:val="666666"/>
                      <w:sz w:val="20"/>
                      <w:szCs w:val="20"/>
                    </w:rPr>
                  </w:pPr>
                  <w:r w:rsidRPr="002A0BE6">
                    <w:rPr>
                      <w:rFonts w:ascii="Arial" w:eastAsia="Times New Roman" w:hAnsi="Arial" w:cs="Arial"/>
                      <w:color w:val="666666"/>
                      <w:sz w:val="20"/>
                      <w:szCs w:val="20"/>
                    </w:rPr>
                    <w:t>Diphenhydramine</w:t>
                  </w:r>
                </w:p>
              </w:tc>
              <w:tc>
                <w:tcPr>
                  <w:tcW w:w="0" w:type="auto"/>
                  <w:tcBorders>
                    <w:right w:val="single" w:sz="12" w:space="0" w:color="FFFFFF"/>
                  </w:tcBorders>
                  <w:shd w:val="clear" w:color="auto" w:fill="EEEEEE"/>
                  <w:tcMar>
                    <w:top w:w="45" w:type="dxa"/>
                    <w:left w:w="45" w:type="dxa"/>
                    <w:bottom w:w="45" w:type="dxa"/>
                    <w:right w:w="45" w:type="dxa"/>
                  </w:tcMar>
                  <w:hideMark/>
                </w:tcPr>
                <w:p w:rsidR="002A0BE6" w:rsidRPr="002A0BE6" w:rsidRDefault="002A0BE6" w:rsidP="002A0BE6">
                  <w:pPr>
                    <w:spacing w:before="90" w:after="90" w:line="336" w:lineRule="atLeast"/>
                    <w:ind w:left="90" w:right="90" w:hanging="120"/>
                    <w:rPr>
                      <w:rFonts w:ascii="Arial" w:eastAsia="Times New Roman" w:hAnsi="Arial" w:cs="Arial"/>
                      <w:color w:val="666666"/>
                      <w:sz w:val="20"/>
                      <w:szCs w:val="20"/>
                    </w:rPr>
                  </w:pPr>
                  <w:r w:rsidRPr="002A0BE6">
                    <w:rPr>
                      <w:rFonts w:ascii="Arial" w:eastAsia="Times New Roman" w:hAnsi="Arial" w:cs="Arial"/>
                      <w:color w:val="666666"/>
                      <w:sz w:val="20"/>
                      <w:szCs w:val="20"/>
                    </w:rPr>
                    <w:t xml:space="preserve">2–4 mg/kg, PO, </w:t>
                  </w:r>
                  <w:proofErr w:type="spellStart"/>
                  <w:r w:rsidRPr="002A0BE6">
                    <w:rPr>
                      <w:rFonts w:ascii="Arial" w:eastAsia="Times New Roman" w:hAnsi="Arial" w:cs="Arial"/>
                      <w:color w:val="666666"/>
                      <w:sz w:val="20"/>
                      <w:szCs w:val="20"/>
                    </w:rPr>
                    <w:t>tid</w:t>
                  </w:r>
                  <w:proofErr w:type="spellEnd"/>
                </w:p>
              </w:tc>
            </w:tr>
            <w:tr w:rsidR="002A0BE6" w:rsidRPr="002A0BE6" w:rsidTr="002A0BE6">
              <w:trPr>
                <w:tblCellSpacing w:w="0" w:type="dxa"/>
              </w:trPr>
              <w:tc>
                <w:tcPr>
                  <w:tcW w:w="0" w:type="auto"/>
                  <w:tcBorders>
                    <w:right w:val="single" w:sz="12" w:space="0" w:color="FFFFFF"/>
                  </w:tcBorders>
                  <w:shd w:val="clear" w:color="auto" w:fill="FFFFFF"/>
                  <w:tcMar>
                    <w:top w:w="45" w:type="dxa"/>
                    <w:left w:w="45" w:type="dxa"/>
                    <w:bottom w:w="45" w:type="dxa"/>
                    <w:right w:w="45" w:type="dxa"/>
                  </w:tcMar>
                  <w:hideMark/>
                </w:tcPr>
                <w:p w:rsidR="002A0BE6" w:rsidRPr="002A0BE6" w:rsidRDefault="002A0BE6" w:rsidP="002A0BE6">
                  <w:pPr>
                    <w:spacing w:before="90" w:after="90" w:line="336" w:lineRule="atLeast"/>
                    <w:ind w:left="90" w:right="90" w:hanging="120"/>
                    <w:rPr>
                      <w:rFonts w:ascii="Arial" w:eastAsia="Times New Roman" w:hAnsi="Arial" w:cs="Arial"/>
                      <w:color w:val="666666"/>
                      <w:sz w:val="20"/>
                      <w:szCs w:val="20"/>
                    </w:rPr>
                  </w:pPr>
                  <w:proofErr w:type="spellStart"/>
                  <w:r w:rsidRPr="002A0BE6">
                    <w:rPr>
                      <w:rFonts w:ascii="Arial" w:eastAsia="Times New Roman" w:hAnsi="Arial" w:cs="Arial"/>
                      <w:color w:val="666666"/>
                      <w:sz w:val="20"/>
                      <w:szCs w:val="20"/>
                    </w:rPr>
                    <w:t>Cyclizine</w:t>
                  </w:r>
                  <w:proofErr w:type="spellEnd"/>
                </w:p>
              </w:tc>
              <w:tc>
                <w:tcPr>
                  <w:tcW w:w="0" w:type="auto"/>
                  <w:tcBorders>
                    <w:right w:val="single" w:sz="12" w:space="0" w:color="FFFFFF"/>
                  </w:tcBorders>
                  <w:shd w:val="clear" w:color="auto" w:fill="FFFFFF"/>
                  <w:tcMar>
                    <w:top w:w="45" w:type="dxa"/>
                    <w:left w:w="45" w:type="dxa"/>
                    <w:bottom w:w="45" w:type="dxa"/>
                    <w:right w:w="45" w:type="dxa"/>
                  </w:tcMar>
                  <w:hideMark/>
                </w:tcPr>
                <w:p w:rsidR="002A0BE6" w:rsidRPr="002A0BE6" w:rsidRDefault="002A0BE6" w:rsidP="002A0BE6">
                  <w:pPr>
                    <w:spacing w:before="90" w:after="90" w:line="336" w:lineRule="atLeast"/>
                    <w:ind w:left="90" w:right="90" w:hanging="120"/>
                    <w:rPr>
                      <w:rFonts w:ascii="Arial" w:eastAsia="Times New Roman" w:hAnsi="Arial" w:cs="Arial"/>
                      <w:color w:val="666666"/>
                      <w:sz w:val="20"/>
                      <w:szCs w:val="20"/>
                    </w:rPr>
                  </w:pPr>
                  <w:r w:rsidRPr="002A0BE6">
                    <w:rPr>
                      <w:rFonts w:ascii="Arial" w:eastAsia="Times New Roman" w:hAnsi="Arial" w:cs="Arial"/>
                      <w:color w:val="666666"/>
                      <w:sz w:val="20"/>
                      <w:szCs w:val="20"/>
                    </w:rPr>
                    <w:t xml:space="preserve">4 mg/kg, PO, </w:t>
                  </w:r>
                  <w:proofErr w:type="spellStart"/>
                  <w:r w:rsidRPr="002A0BE6">
                    <w:rPr>
                      <w:rFonts w:ascii="Arial" w:eastAsia="Times New Roman" w:hAnsi="Arial" w:cs="Arial"/>
                      <w:color w:val="666666"/>
                      <w:sz w:val="20"/>
                      <w:szCs w:val="20"/>
                    </w:rPr>
                    <w:t>tid</w:t>
                  </w:r>
                  <w:proofErr w:type="spellEnd"/>
                </w:p>
              </w:tc>
            </w:tr>
            <w:tr w:rsidR="002A0BE6" w:rsidRPr="002A0BE6" w:rsidTr="002A0BE6">
              <w:trPr>
                <w:tblCellSpacing w:w="0" w:type="dxa"/>
              </w:trPr>
              <w:tc>
                <w:tcPr>
                  <w:tcW w:w="0" w:type="auto"/>
                  <w:tcBorders>
                    <w:right w:val="single" w:sz="12" w:space="0" w:color="FFFFFF"/>
                  </w:tcBorders>
                  <w:shd w:val="clear" w:color="auto" w:fill="EEEEEE"/>
                  <w:tcMar>
                    <w:top w:w="45" w:type="dxa"/>
                    <w:left w:w="45" w:type="dxa"/>
                    <w:bottom w:w="45" w:type="dxa"/>
                    <w:right w:w="45" w:type="dxa"/>
                  </w:tcMar>
                  <w:hideMark/>
                </w:tcPr>
                <w:p w:rsidR="002A0BE6" w:rsidRPr="002A0BE6" w:rsidRDefault="002A0BE6" w:rsidP="002A0BE6">
                  <w:pPr>
                    <w:spacing w:before="90" w:after="90" w:line="336" w:lineRule="atLeast"/>
                    <w:ind w:left="90" w:right="90" w:hanging="120"/>
                    <w:rPr>
                      <w:rFonts w:ascii="Arial" w:eastAsia="Times New Roman" w:hAnsi="Arial" w:cs="Arial"/>
                      <w:color w:val="666666"/>
                      <w:sz w:val="20"/>
                      <w:szCs w:val="20"/>
                    </w:rPr>
                  </w:pPr>
                  <w:r w:rsidRPr="002A0BE6">
                    <w:rPr>
                      <w:rFonts w:ascii="Arial" w:eastAsia="Times New Roman" w:hAnsi="Arial" w:cs="Arial"/>
                      <w:color w:val="666666"/>
                      <w:sz w:val="20"/>
                      <w:szCs w:val="20"/>
                    </w:rPr>
                    <w:t>Meclizine</w:t>
                  </w:r>
                </w:p>
              </w:tc>
              <w:tc>
                <w:tcPr>
                  <w:tcW w:w="0" w:type="auto"/>
                  <w:tcBorders>
                    <w:right w:val="single" w:sz="12" w:space="0" w:color="FFFFFF"/>
                  </w:tcBorders>
                  <w:shd w:val="clear" w:color="auto" w:fill="EEEEEE"/>
                  <w:tcMar>
                    <w:top w:w="45" w:type="dxa"/>
                    <w:left w:w="45" w:type="dxa"/>
                    <w:bottom w:w="45" w:type="dxa"/>
                    <w:right w:w="45" w:type="dxa"/>
                  </w:tcMar>
                  <w:hideMark/>
                </w:tcPr>
                <w:p w:rsidR="002A0BE6" w:rsidRPr="002A0BE6" w:rsidRDefault="002A0BE6" w:rsidP="002A0BE6">
                  <w:pPr>
                    <w:spacing w:before="90" w:after="90" w:line="336" w:lineRule="atLeast"/>
                    <w:ind w:left="90" w:right="90" w:hanging="120"/>
                    <w:rPr>
                      <w:rFonts w:ascii="Arial" w:eastAsia="Times New Roman" w:hAnsi="Arial" w:cs="Arial"/>
                      <w:color w:val="666666"/>
                      <w:sz w:val="20"/>
                      <w:szCs w:val="20"/>
                    </w:rPr>
                  </w:pPr>
                  <w:r w:rsidRPr="002A0BE6">
                    <w:rPr>
                      <w:rFonts w:ascii="Arial" w:eastAsia="Times New Roman" w:hAnsi="Arial" w:cs="Arial"/>
                      <w:color w:val="666666"/>
                      <w:sz w:val="20"/>
                      <w:szCs w:val="20"/>
                    </w:rPr>
                    <w:t xml:space="preserve">4 mg/kg, PO, </w:t>
                  </w:r>
                  <w:proofErr w:type="spellStart"/>
                  <w:r w:rsidRPr="002A0BE6">
                    <w:rPr>
                      <w:rFonts w:ascii="Arial" w:eastAsia="Times New Roman" w:hAnsi="Arial" w:cs="Arial"/>
                      <w:color w:val="666666"/>
                      <w:sz w:val="20"/>
                      <w:szCs w:val="20"/>
                    </w:rPr>
                    <w:t>sid</w:t>
                  </w:r>
                  <w:proofErr w:type="spellEnd"/>
                </w:p>
              </w:tc>
            </w:tr>
            <w:tr w:rsidR="002A0BE6" w:rsidRPr="002A0BE6" w:rsidTr="002A0BE6">
              <w:trPr>
                <w:tblCellSpacing w:w="0" w:type="dxa"/>
              </w:trPr>
              <w:tc>
                <w:tcPr>
                  <w:tcW w:w="0" w:type="auto"/>
                  <w:tcBorders>
                    <w:right w:val="single" w:sz="12" w:space="0" w:color="FFFFFF"/>
                  </w:tcBorders>
                  <w:shd w:val="clear" w:color="auto" w:fill="FFFFFF"/>
                  <w:tcMar>
                    <w:top w:w="45" w:type="dxa"/>
                    <w:left w:w="45" w:type="dxa"/>
                    <w:bottom w:w="45" w:type="dxa"/>
                    <w:right w:w="45" w:type="dxa"/>
                  </w:tcMar>
                  <w:hideMark/>
                </w:tcPr>
                <w:p w:rsidR="002A0BE6" w:rsidRPr="002A0BE6" w:rsidRDefault="002A0BE6" w:rsidP="002A0BE6">
                  <w:pPr>
                    <w:spacing w:before="90" w:after="90" w:line="336" w:lineRule="atLeast"/>
                    <w:ind w:left="90" w:right="90" w:hanging="120"/>
                    <w:rPr>
                      <w:rFonts w:ascii="Arial" w:eastAsia="Times New Roman" w:hAnsi="Arial" w:cs="Arial"/>
                      <w:color w:val="666666"/>
                      <w:sz w:val="20"/>
                      <w:szCs w:val="20"/>
                    </w:rPr>
                  </w:pPr>
                  <w:proofErr w:type="spellStart"/>
                  <w:r w:rsidRPr="002A0BE6">
                    <w:rPr>
                      <w:rFonts w:ascii="Arial" w:eastAsia="Times New Roman" w:hAnsi="Arial" w:cs="Arial"/>
                      <w:color w:val="666666"/>
                      <w:sz w:val="20"/>
                      <w:szCs w:val="20"/>
                    </w:rPr>
                    <w:t>Butorphanol</w:t>
                  </w:r>
                  <w:proofErr w:type="spellEnd"/>
                </w:p>
              </w:tc>
              <w:tc>
                <w:tcPr>
                  <w:tcW w:w="0" w:type="auto"/>
                  <w:tcBorders>
                    <w:right w:val="single" w:sz="12" w:space="0" w:color="FFFFFF"/>
                  </w:tcBorders>
                  <w:shd w:val="clear" w:color="auto" w:fill="FFFFFF"/>
                  <w:tcMar>
                    <w:top w:w="45" w:type="dxa"/>
                    <w:left w:w="45" w:type="dxa"/>
                    <w:bottom w:w="45" w:type="dxa"/>
                    <w:right w:w="45" w:type="dxa"/>
                  </w:tcMar>
                  <w:hideMark/>
                </w:tcPr>
                <w:p w:rsidR="002A0BE6" w:rsidRPr="002A0BE6" w:rsidRDefault="002A0BE6" w:rsidP="002A0BE6">
                  <w:pPr>
                    <w:spacing w:before="90" w:after="90" w:line="336" w:lineRule="atLeast"/>
                    <w:ind w:left="90" w:right="90" w:hanging="120"/>
                    <w:rPr>
                      <w:rFonts w:ascii="Arial" w:eastAsia="Times New Roman" w:hAnsi="Arial" w:cs="Arial"/>
                      <w:color w:val="666666"/>
                      <w:sz w:val="20"/>
                      <w:szCs w:val="20"/>
                    </w:rPr>
                  </w:pPr>
                  <w:r w:rsidRPr="002A0BE6">
                    <w:rPr>
                      <w:rFonts w:ascii="Arial" w:eastAsia="Times New Roman" w:hAnsi="Arial" w:cs="Arial"/>
                      <w:color w:val="666666"/>
                      <w:sz w:val="20"/>
                      <w:szCs w:val="20"/>
                    </w:rPr>
                    <w:t xml:space="preserve">0.2–0.4 mg/kg, IM, </w:t>
                  </w:r>
                  <w:proofErr w:type="spellStart"/>
                  <w:r w:rsidRPr="002A0BE6">
                    <w:rPr>
                      <w:rFonts w:ascii="Arial" w:eastAsia="Times New Roman" w:hAnsi="Arial" w:cs="Arial"/>
                      <w:color w:val="666666"/>
                      <w:sz w:val="20"/>
                      <w:szCs w:val="20"/>
                    </w:rPr>
                    <w:t>sid</w:t>
                  </w:r>
                  <w:proofErr w:type="spellEnd"/>
                  <w:r w:rsidRPr="002A0BE6">
                    <w:rPr>
                      <w:rFonts w:ascii="Arial" w:eastAsia="Times New Roman" w:hAnsi="Arial" w:cs="Arial"/>
                      <w:color w:val="666666"/>
                      <w:sz w:val="20"/>
                      <w:szCs w:val="20"/>
                    </w:rPr>
                    <w:t>-bid</w:t>
                  </w:r>
                </w:p>
              </w:tc>
            </w:tr>
            <w:tr w:rsidR="002A0BE6" w:rsidRPr="002A0BE6" w:rsidTr="002A0BE6">
              <w:trPr>
                <w:tblCellSpacing w:w="0" w:type="dxa"/>
              </w:trPr>
              <w:tc>
                <w:tcPr>
                  <w:tcW w:w="0" w:type="auto"/>
                  <w:tcBorders>
                    <w:right w:val="single" w:sz="12" w:space="0" w:color="FFFFFF"/>
                  </w:tcBorders>
                  <w:shd w:val="clear" w:color="auto" w:fill="EEEEEE"/>
                  <w:tcMar>
                    <w:top w:w="45" w:type="dxa"/>
                    <w:left w:w="45" w:type="dxa"/>
                    <w:bottom w:w="45" w:type="dxa"/>
                    <w:right w:w="45" w:type="dxa"/>
                  </w:tcMar>
                  <w:hideMark/>
                </w:tcPr>
                <w:p w:rsidR="002A0BE6" w:rsidRPr="002A0BE6" w:rsidRDefault="002A0BE6" w:rsidP="002A0BE6">
                  <w:pPr>
                    <w:spacing w:before="90" w:after="90" w:line="336" w:lineRule="atLeast"/>
                    <w:ind w:left="90" w:right="90" w:hanging="120"/>
                    <w:rPr>
                      <w:rFonts w:ascii="Arial" w:eastAsia="Times New Roman" w:hAnsi="Arial" w:cs="Arial"/>
                      <w:color w:val="666666"/>
                      <w:sz w:val="20"/>
                      <w:szCs w:val="20"/>
                    </w:rPr>
                  </w:pPr>
                  <w:r w:rsidRPr="002A0BE6">
                    <w:rPr>
                      <w:rFonts w:ascii="Arial" w:eastAsia="Times New Roman" w:hAnsi="Arial" w:cs="Arial"/>
                      <w:color w:val="666666"/>
                      <w:sz w:val="20"/>
                      <w:szCs w:val="20"/>
                    </w:rPr>
                    <w:t>Metoclopramide</w:t>
                  </w:r>
                </w:p>
              </w:tc>
              <w:tc>
                <w:tcPr>
                  <w:tcW w:w="0" w:type="auto"/>
                  <w:tcBorders>
                    <w:right w:val="single" w:sz="12" w:space="0" w:color="FFFFFF"/>
                  </w:tcBorders>
                  <w:shd w:val="clear" w:color="auto" w:fill="EEEEEE"/>
                  <w:tcMar>
                    <w:top w:w="45" w:type="dxa"/>
                    <w:left w:w="45" w:type="dxa"/>
                    <w:bottom w:w="45" w:type="dxa"/>
                    <w:right w:w="45" w:type="dxa"/>
                  </w:tcMar>
                  <w:hideMark/>
                </w:tcPr>
                <w:p w:rsidR="002A0BE6" w:rsidRPr="002A0BE6" w:rsidRDefault="002A0BE6" w:rsidP="002A0BE6">
                  <w:pPr>
                    <w:spacing w:before="90" w:after="90" w:line="336" w:lineRule="atLeast"/>
                    <w:ind w:left="90" w:right="90" w:hanging="120"/>
                    <w:rPr>
                      <w:rFonts w:ascii="Arial" w:eastAsia="Times New Roman" w:hAnsi="Arial" w:cs="Arial"/>
                      <w:color w:val="666666"/>
                      <w:sz w:val="20"/>
                      <w:szCs w:val="20"/>
                    </w:rPr>
                  </w:pPr>
                  <w:r w:rsidRPr="002A0BE6">
                    <w:rPr>
                      <w:rFonts w:ascii="Arial" w:eastAsia="Times New Roman" w:hAnsi="Arial" w:cs="Arial"/>
                      <w:color w:val="666666"/>
                      <w:sz w:val="20"/>
                      <w:szCs w:val="20"/>
                    </w:rPr>
                    <w:t xml:space="preserve">0.1–0.5 mg/kg, IM, SC, or PO, </w:t>
                  </w:r>
                  <w:proofErr w:type="spellStart"/>
                  <w:r w:rsidRPr="002A0BE6">
                    <w:rPr>
                      <w:rFonts w:ascii="Arial" w:eastAsia="Times New Roman" w:hAnsi="Arial" w:cs="Arial"/>
                      <w:color w:val="666666"/>
                      <w:sz w:val="20"/>
                      <w:szCs w:val="20"/>
                    </w:rPr>
                    <w:t>tid</w:t>
                  </w:r>
                  <w:proofErr w:type="spellEnd"/>
                  <w:r w:rsidRPr="002A0BE6">
                    <w:rPr>
                      <w:rFonts w:ascii="Arial" w:eastAsia="Times New Roman" w:hAnsi="Arial" w:cs="Arial"/>
                      <w:color w:val="666666"/>
                      <w:sz w:val="20"/>
                      <w:szCs w:val="20"/>
                    </w:rPr>
                    <w:t>; 0.01–0.02 mg/kg/</w:t>
                  </w:r>
                  <w:proofErr w:type="spellStart"/>
                  <w:r w:rsidRPr="002A0BE6">
                    <w:rPr>
                      <w:rFonts w:ascii="Arial" w:eastAsia="Times New Roman" w:hAnsi="Arial" w:cs="Arial"/>
                      <w:color w:val="666666"/>
                      <w:sz w:val="20"/>
                      <w:szCs w:val="20"/>
                    </w:rPr>
                    <w:t>hr</w:t>
                  </w:r>
                  <w:proofErr w:type="spellEnd"/>
                  <w:r w:rsidRPr="002A0BE6">
                    <w:rPr>
                      <w:rFonts w:ascii="Arial" w:eastAsia="Times New Roman" w:hAnsi="Arial" w:cs="Arial"/>
                      <w:color w:val="666666"/>
                      <w:sz w:val="20"/>
                      <w:szCs w:val="20"/>
                    </w:rPr>
                    <w:t>, IV infusion</w:t>
                  </w:r>
                </w:p>
              </w:tc>
            </w:tr>
            <w:tr w:rsidR="002A0BE6" w:rsidRPr="002A0BE6" w:rsidTr="002A0BE6">
              <w:trPr>
                <w:tblCellSpacing w:w="0" w:type="dxa"/>
              </w:trPr>
              <w:tc>
                <w:tcPr>
                  <w:tcW w:w="0" w:type="auto"/>
                  <w:tcBorders>
                    <w:right w:val="single" w:sz="12" w:space="0" w:color="FFFFFF"/>
                  </w:tcBorders>
                  <w:shd w:val="clear" w:color="auto" w:fill="FFFFFF"/>
                  <w:tcMar>
                    <w:top w:w="45" w:type="dxa"/>
                    <w:left w:w="45" w:type="dxa"/>
                    <w:bottom w:w="45" w:type="dxa"/>
                    <w:right w:w="45" w:type="dxa"/>
                  </w:tcMar>
                  <w:hideMark/>
                </w:tcPr>
                <w:p w:rsidR="002A0BE6" w:rsidRPr="002A0BE6" w:rsidRDefault="002A0BE6" w:rsidP="002A0BE6">
                  <w:pPr>
                    <w:spacing w:before="90" w:after="90" w:line="336" w:lineRule="atLeast"/>
                    <w:ind w:left="90" w:right="90" w:hanging="120"/>
                    <w:rPr>
                      <w:rFonts w:ascii="Arial" w:eastAsia="Times New Roman" w:hAnsi="Arial" w:cs="Arial"/>
                      <w:color w:val="666666"/>
                      <w:sz w:val="20"/>
                      <w:szCs w:val="20"/>
                    </w:rPr>
                  </w:pPr>
                  <w:proofErr w:type="spellStart"/>
                  <w:r w:rsidRPr="002A0BE6">
                    <w:rPr>
                      <w:rFonts w:ascii="Arial" w:eastAsia="Times New Roman" w:hAnsi="Arial" w:cs="Arial"/>
                      <w:color w:val="666666"/>
                      <w:sz w:val="20"/>
                      <w:szCs w:val="20"/>
                    </w:rPr>
                    <w:t>Ondansetron</w:t>
                  </w:r>
                  <w:proofErr w:type="spellEnd"/>
                </w:p>
              </w:tc>
              <w:tc>
                <w:tcPr>
                  <w:tcW w:w="0" w:type="auto"/>
                  <w:tcBorders>
                    <w:right w:val="single" w:sz="12" w:space="0" w:color="FFFFFF"/>
                  </w:tcBorders>
                  <w:shd w:val="clear" w:color="auto" w:fill="FFFFFF"/>
                  <w:tcMar>
                    <w:top w:w="45" w:type="dxa"/>
                    <w:left w:w="45" w:type="dxa"/>
                    <w:bottom w:w="45" w:type="dxa"/>
                    <w:right w:w="45" w:type="dxa"/>
                  </w:tcMar>
                  <w:hideMark/>
                </w:tcPr>
                <w:p w:rsidR="002A0BE6" w:rsidRPr="002A0BE6" w:rsidRDefault="002A0BE6" w:rsidP="002A0BE6">
                  <w:pPr>
                    <w:spacing w:before="90" w:after="90" w:line="336" w:lineRule="atLeast"/>
                    <w:ind w:left="90" w:right="90" w:hanging="120"/>
                    <w:rPr>
                      <w:rFonts w:ascii="Arial" w:eastAsia="Times New Roman" w:hAnsi="Arial" w:cs="Arial"/>
                      <w:color w:val="666666"/>
                      <w:sz w:val="20"/>
                      <w:szCs w:val="20"/>
                    </w:rPr>
                  </w:pPr>
                  <w:r w:rsidRPr="002A0BE6">
                    <w:rPr>
                      <w:rFonts w:ascii="Arial" w:eastAsia="Times New Roman" w:hAnsi="Arial" w:cs="Arial"/>
                      <w:color w:val="666666"/>
                      <w:sz w:val="20"/>
                      <w:szCs w:val="20"/>
                    </w:rPr>
                    <w:t xml:space="preserve">0.1–0.2 mg/kg, PO, </w:t>
                  </w:r>
                  <w:proofErr w:type="spellStart"/>
                  <w:r w:rsidRPr="002A0BE6">
                    <w:rPr>
                      <w:rFonts w:ascii="Arial" w:eastAsia="Times New Roman" w:hAnsi="Arial" w:cs="Arial"/>
                      <w:color w:val="666666"/>
                      <w:sz w:val="20"/>
                      <w:szCs w:val="20"/>
                    </w:rPr>
                    <w:t>sid</w:t>
                  </w:r>
                  <w:proofErr w:type="spellEnd"/>
                  <w:r w:rsidRPr="002A0BE6">
                    <w:rPr>
                      <w:rFonts w:ascii="Arial" w:eastAsia="Times New Roman" w:hAnsi="Arial" w:cs="Arial"/>
                      <w:color w:val="666666"/>
                      <w:sz w:val="20"/>
                      <w:szCs w:val="20"/>
                    </w:rPr>
                    <w:t>-bid; 0.1–0.15 mg/kg, IV, bid-</w:t>
                  </w:r>
                  <w:proofErr w:type="spellStart"/>
                  <w:r w:rsidRPr="002A0BE6">
                    <w:rPr>
                      <w:rFonts w:ascii="Arial" w:eastAsia="Times New Roman" w:hAnsi="Arial" w:cs="Arial"/>
                      <w:color w:val="666666"/>
                      <w:sz w:val="20"/>
                      <w:szCs w:val="20"/>
                    </w:rPr>
                    <w:t>tid</w:t>
                  </w:r>
                  <w:proofErr w:type="spellEnd"/>
                </w:p>
              </w:tc>
            </w:tr>
            <w:tr w:rsidR="002A0BE6" w:rsidRPr="002A0BE6" w:rsidTr="002A0BE6">
              <w:trPr>
                <w:tblCellSpacing w:w="0" w:type="dxa"/>
              </w:trPr>
              <w:tc>
                <w:tcPr>
                  <w:tcW w:w="0" w:type="auto"/>
                  <w:tcBorders>
                    <w:right w:val="single" w:sz="12" w:space="0" w:color="FFFFFF"/>
                  </w:tcBorders>
                  <w:shd w:val="clear" w:color="auto" w:fill="EEEEEE"/>
                  <w:tcMar>
                    <w:top w:w="45" w:type="dxa"/>
                    <w:left w:w="45" w:type="dxa"/>
                    <w:bottom w:w="45" w:type="dxa"/>
                    <w:right w:w="45" w:type="dxa"/>
                  </w:tcMar>
                  <w:hideMark/>
                </w:tcPr>
                <w:p w:rsidR="002A0BE6" w:rsidRPr="002A0BE6" w:rsidRDefault="002A0BE6" w:rsidP="002A0BE6">
                  <w:pPr>
                    <w:spacing w:before="90" w:after="90" w:line="336" w:lineRule="atLeast"/>
                    <w:ind w:left="90" w:right="90" w:hanging="120"/>
                    <w:rPr>
                      <w:rFonts w:ascii="Arial" w:eastAsia="Times New Roman" w:hAnsi="Arial" w:cs="Arial"/>
                      <w:color w:val="666666"/>
                      <w:sz w:val="20"/>
                      <w:szCs w:val="20"/>
                    </w:rPr>
                  </w:pPr>
                  <w:proofErr w:type="spellStart"/>
                  <w:r w:rsidRPr="002A0BE6">
                    <w:rPr>
                      <w:rFonts w:ascii="Arial" w:eastAsia="Times New Roman" w:hAnsi="Arial" w:cs="Arial"/>
                      <w:color w:val="666666"/>
                      <w:sz w:val="20"/>
                      <w:szCs w:val="20"/>
                    </w:rPr>
                    <w:lastRenderedPageBreak/>
                    <w:t>Granisetron</w:t>
                  </w:r>
                  <w:proofErr w:type="spellEnd"/>
                </w:p>
              </w:tc>
              <w:tc>
                <w:tcPr>
                  <w:tcW w:w="0" w:type="auto"/>
                  <w:tcBorders>
                    <w:right w:val="single" w:sz="12" w:space="0" w:color="FFFFFF"/>
                  </w:tcBorders>
                  <w:shd w:val="clear" w:color="auto" w:fill="EEEEEE"/>
                  <w:tcMar>
                    <w:top w:w="45" w:type="dxa"/>
                    <w:left w:w="45" w:type="dxa"/>
                    <w:bottom w:w="45" w:type="dxa"/>
                    <w:right w:w="45" w:type="dxa"/>
                  </w:tcMar>
                  <w:hideMark/>
                </w:tcPr>
                <w:p w:rsidR="002A0BE6" w:rsidRPr="002A0BE6" w:rsidRDefault="002A0BE6" w:rsidP="002A0BE6">
                  <w:pPr>
                    <w:spacing w:before="90" w:after="90" w:line="336" w:lineRule="atLeast"/>
                    <w:ind w:left="90" w:right="90" w:hanging="120"/>
                    <w:rPr>
                      <w:rFonts w:ascii="Arial" w:eastAsia="Times New Roman" w:hAnsi="Arial" w:cs="Arial"/>
                      <w:color w:val="666666"/>
                      <w:sz w:val="20"/>
                      <w:szCs w:val="20"/>
                    </w:rPr>
                  </w:pPr>
                  <w:r w:rsidRPr="002A0BE6">
                    <w:rPr>
                      <w:rFonts w:ascii="Arial" w:eastAsia="Times New Roman" w:hAnsi="Arial" w:cs="Arial"/>
                      <w:color w:val="666666"/>
                      <w:sz w:val="20"/>
                      <w:szCs w:val="20"/>
                    </w:rPr>
                    <w:t>0.5–1.0 mg/kg, PO, bid; 0.1–0.15 mg/kg, IV, bid-</w:t>
                  </w:r>
                  <w:proofErr w:type="spellStart"/>
                  <w:r w:rsidRPr="002A0BE6">
                    <w:rPr>
                      <w:rFonts w:ascii="Arial" w:eastAsia="Times New Roman" w:hAnsi="Arial" w:cs="Arial"/>
                      <w:color w:val="666666"/>
                      <w:sz w:val="20"/>
                      <w:szCs w:val="20"/>
                    </w:rPr>
                    <w:t>tid</w:t>
                  </w:r>
                  <w:proofErr w:type="spellEnd"/>
                </w:p>
              </w:tc>
            </w:tr>
            <w:tr w:rsidR="002A0BE6" w:rsidRPr="002A0BE6" w:rsidTr="002A0BE6">
              <w:trPr>
                <w:tblCellSpacing w:w="0" w:type="dxa"/>
              </w:trPr>
              <w:tc>
                <w:tcPr>
                  <w:tcW w:w="0" w:type="auto"/>
                  <w:tcBorders>
                    <w:right w:val="single" w:sz="12" w:space="0" w:color="FFFFFF"/>
                  </w:tcBorders>
                  <w:shd w:val="clear" w:color="auto" w:fill="FFFFFF"/>
                  <w:tcMar>
                    <w:top w:w="45" w:type="dxa"/>
                    <w:left w:w="45" w:type="dxa"/>
                    <w:bottom w:w="45" w:type="dxa"/>
                    <w:right w:w="45" w:type="dxa"/>
                  </w:tcMar>
                  <w:hideMark/>
                </w:tcPr>
                <w:p w:rsidR="002A0BE6" w:rsidRPr="002A0BE6" w:rsidRDefault="002A0BE6" w:rsidP="002A0BE6">
                  <w:pPr>
                    <w:spacing w:before="90" w:after="90" w:line="336" w:lineRule="atLeast"/>
                    <w:ind w:left="90" w:right="90" w:hanging="120"/>
                    <w:rPr>
                      <w:rFonts w:ascii="Arial" w:eastAsia="Times New Roman" w:hAnsi="Arial" w:cs="Arial"/>
                      <w:color w:val="666666"/>
                      <w:sz w:val="20"/>
                      <w:szCs w:val="20"/>
                    </w:rPr>
                  </w:pPr>
                  <w:proofErr w:type="spellStart"/>
                  <w:r w:rsidRPr="002A0BE6">
                    <w:rPr>
                      <w:rFonts w:ascii="Arial" w:eastAsia="Times New Roman" w:hAnsi="Arial" w:cs="Arial"/>
                      <w:color w:val="666666"/>
                      <w:sz w:val="20"/>
                      <w:szCs w:val="20"/>
                    </w:rPr>
                    <w:t>Dolasetron</w:t>
                  </w:r>
                  <w:proofErr w:type="spellEnd"/>
                </w:p>
              </w:tc>
              <w:tc>
                <w:tcPr>
                  <w:tcW w:w="0" w:type="auto"/>
                  <w:tcBorders>
                    <w:right w:val="single" w:sz="12" w:space="0" w:color="FFFFFF"/>
                  </w:tcBorders>
                  <w:shd w:val="clear" w:color="auto" w:fill="FFFFFF"/>
                  <w:tcMar>
                    <w:top w:w="45" w:type="dxa"/>
                    <w:left w:w="45" w:type="dxa"/>
                    <w:bottom w:w="45" w:type="dxa"/>
                    <w:right w:w="45" w:type="dxa"/>
                  </w:tcMar>
                  <w:hideMark/>
                </w:tcPr>
                <w:p w:rsidR="002A0BE6" w:rsidRPr="002A0BE6" w:rsidRDefault="002A0BE6" w:rsidP="002A0BE6">
                  <w:pPr>
                    <w:spacing w:before="90" w:after="90" w:line="336" w:lineRule="atLeast"/>
                    <w:ind w:left="90" w:right="90" w:hanging="120"/>
                    <w:rPr>
                      <w:rFonts w:ascii="Arial" w:eastAsia="Times New Roman" w:hAnsi="Arial" w:cs="Arial"/>
                      <w:color w:val="666666"/>
                      <w:sz w:val="20"/>
                      <w:szCs w:val="20"/>
                    </w:rPr>
                  </w:pPr>
                  <w:r w:rsidRPr="002A0BE6">
                    <w:rPr>
                      <w:rFonts w:ascii="Arial" w:eastAsia="Times New Roman" w:hAnsi="Arial" w:cs="Arial"/>
                      <w:color w:val="666666"/>
                      <w:sz w:val="20"/>
                      <w:szCs w:val="20"/>
                    </w:rPr>
                    <w:t xml:space="preserve">0.6–1.0 mg/kg, IV, </w:t>
                  </w:r>
                  <w:proofErr w:type="spellStart"/>
                  <w:r w:rsidRPr="002A0BE6">
                    <w:rPr>
                      <w:rFonts w:ascii="Arial" w:eastAsia="Times New Roman" w:hAnsi="Arial" w:cs="Arial"/>
                      <w:color w:val="666666"/>
                      <w:sz w:val="20"/>
                      <w:szCs w:val="20"/>
                    </w:rPr>
                    <w:t>sid</w:t>
                  </w:r>
                  <w:proofErr w:type="spellEnd"/>
                </w:p>
              </w:tc>
            </w:tr>
            <w:tr w:rsidR="002A0BE6" w:rsidRPr="002A0BE6" w:rsidTr="002A0BE6">
              <w:trPr>
                <w:tblCellSpacing w:w="0" w:type="dxa"/>
              </w:trPr>
              <w:tc>
                <w:tcPr>
                  <w:tcW w:w="0" w:type="auto"/>
                  <w:tcBorders>
                    <w:right w:val="single" w:sz="12" w:space="0" w:color="FFFFFF"/>
                  </w:tcBorders>
                  <w:shd w:val="clear" w:color="auto" w:fill="EEEEEE"/>
                  <w:tcMar>
                    <w:top w:w="45" w:type="dxa"/>
                    <w:left w:w="45" w:type="dxa"/>
                    <w:bottom w:w="45" w:type="dxa"/>
                    <w:right w:w="45" w:type="dxa"/>
                  </w:tcMar>
                  <w:hideMark/>
                </w:tcPr>
                <w:p w:rsidR="002A0BE6" w:rsidRPr="002A0BE6" w:rsidRDefault="002A0BE6" w:rsidP="002A0BE6">
                  <w:pPr>
                    <w:spacing w:before="90" w:after="90" w:line="336" w:lineRule="atLeast"/>
                    <w:ind w:left="90" w:right="90" w:hanging="120"/>
                    <w:rPr>
                      <w:rFonts w:ascii="Arial" w:eastAsia="Times New Roman" w:hAnsi="Arial" w:cs="Arial"/>
                      <w:color w:val="666666"/>
                      <w:sz w:val="20"/>
                      <w:szCs w:val="20"/>
                    </w:rPr>
                  </w:pPr>
                  <w:proofErr w:type="spellStart"/>
                  <w:r w:rsidRPr="002A0BE6">
                    <w:rPr>
                      <w:rFonts w:ascii="Arial" w:eastAsia="Times New Roman" w:hAnsi="Arial" w:cs="Arial"/>
                      <w:color w:val="666666"/>
                      <w:sz w:val="20"/>
                      <w:szCs w:val="20"/>
                    </w:rPr>
                    <w:t>Maropitant</w:t>
                  </w:r>
                  <w:proofErr w:type="spellEnd"/>
                </w:p>
              </w:tc>
              <w:tc>
                <w:tcPr>
                  <w:tcW w:w="0" w:type="auto"/>
                  <w:tcBorders>
                    <w:right w:val="single" w:sz="12" w:space="0" w:color="FFFFFF"/>
                  </w:tcBorders>
                  <w:shd w:val="clear" w:color="auto" w:fill="EEEEEE"/>
                  <w:tcMar>
                    <w:top w:w="45" w:type="dxa"/>
                    <w:left w:w="45" w:type="dxa"/>
                    <w:bottom w:w="45" w:type="dxa"/>
                    <w:right w:w="45" w:type="dxa"/>
                  </w:tcMar>
                  <w:hideMark/>
                </w:tcPr>
                <w:p w:rsidR="002A0BE6" w:rsidRPr="002A0BE6" w:rsidRDefault="002A0BE6" w:rsidP="002A0BE6">
                  <w:pPr>
                    <w:spacing w:before="90" w:after="90" w:line="336" w:lineRule="atLeast"/>
                    <w:ind w:left="90" w:right="90" w:hanging="120"/>
                    <w:rPr>
                      <w:rFonts w:ascii="Arial" w:eastAsia="Times New Roman" w:hAnsi="Arial" w:cs="Arial"/>
                      <w:color w:val="666666"/>
                      <w:sz w:val="20"/>
                      <w:szCs w:val="20"/>
                    </w:rPr>
                  </w:pPr>
                  <w:r w:rsidRPr="002A0BE6">
                    <w:rPr>
                      <w:rFonts w:ascii="Arial" w:eastAsia="Times New Roman" w:hAnsi="Arial" w:cs="Arial"/>
                      <w:color w:val="666666"/>
                      <w:sz w:val="20"/>
                      <w:szCs w:val="20"/>
                    </w:rPr>
                    <w:t xml:space="preserve">2 mg/kg, PO or 1 mg/kg, SC, </w:t>
                  </w:r>
                  <w:proofErr w:type="spellStart"/>
                  <w:r w:rsidRPr="002A0BE6">
                    <w:rPr>
                      <w:rFonts w:ascii="Arial" w:eastAsia="Times New Roman" w:hAnsi="Arial" w:cs="Arial"/>
                      <w:color w:val="666666"/>
                      <w:sz w:val="20"/>
                      <w:szCs w:val="20"/>
                    </w:rPr>
                    <w:t>sid</w:t>
                  </w:r>
                  <w:proofErr w:type="spellEnd"/>
                  <w:r w:rsidRPr="002A0BE6">
                    <w:rPr>
                      <w:rFonts w:ascii="Arial" w:eastAsia="Times New Roman" w:hAnsi="Arial" w:cs="Arial"/>
                      <w:color w:val="666666"/>
                      <w:sz w:val="20"/>
                      <w:szCs w:val="20"/>
                    </w:rPr>
                    <w:t xml:space="preserve"> for up to 5 days (acute vomiting); 8 mg/kg, PO, </w:t>
                  </w:r>
                  <w:proofErr w:type="spellStart"/>
                  <w:r w:rsidRPr="002A0BE6">
                    <w:rPr>
                      <w:rFonts w:ascii="Arial" w:eastAsia="Times New Roman" w:hAnsi="Arial" w:cs="Arial"/>
                      <w:color w:val="666666"/>
                      <w:sz w:val="20"/>
                      <w:szCs w:val="20"/>
                    </w:rPr>
                    <w:t>sid</w:t>
                  </w:r>
                  <w:proofErr w:type="spellEnd"/>
                  <w:r w:rsidRPr="002A0BE6">
                    <w:rPr>
                      <w:rFonts w:ascii="Arial" w:eastAsia="Times New Roman" w:hAnsi="Arial" w:cs="Arial"/>
                      <w:color w:val="666666"/>
                      <w:sz w:val="20"/>
                      <w:szCs w:val="20"/>
                    </w:rPr>
                    <w:t xml:space="preserve"> for up to 2 days (motion sickness)</w:t>
                  </w:r>
                </w:p>
              </w:tc>
            </w:tr>
          </w:tbl>
          <w:p w:rsidR="002A0BE6" w:rsidRPr="002A0BE6" w:rsidRDefault="002A0BE6" w:rsidP="002A0BE6">
            <w:pPr>
              <w:spacing w:after="0" w:line="240" w:lineRule="auto"/>
              <w:rPr>
                <w:rFonts w:ascii="Arial" w:eastAsia="Times New Roman" w:hAnsi="Arial" w:cs="Arial"/>
                <w:sz w:val="19"/>
                <w:szCs w:val="19"/>
              </w:rPr>
            </w:pPr>
          </w:p>
        </w:tc>
      </w:tr>
    </w:tbl>
    <w:p w:rsidR="002A0BE6" w:rsidRPr="002A0BE6" w:rsidRDefault="002A0BE6" w:rsidP="002A0BE6">
      <w:pPr>
        <w:pStyle w:val="ListParagraph"/>
        <w:numPr>
          <w:ilvl w:val="0"/>
          <w:numId w:val="2"/>
        </w:numPr>
        <w:shd w:val="clear" w:color="auto" w:fill="FFFFFF"/>
        <w:spacing w:after="288" w:line="336" w:lineRule="atLeast"/>
        <w:rPr>
          <w:rFonts w:ascii="Arial" w:eastAsia="Times New Roman" w:hAnsi="Arial" w:cs="Arial"/>
          <w:color w:val="000000"/>
          <w:sz w:val="20"/>
          <w:szCs w:val="20"/>
        </w:rPr>
      </w:pPr>
      <w:bookmarkStart w:id="92" w:name="v3329970"/>
      <w:bookmarkEnd w:id="92"/>
      <w:r w:rsidRPr="002A0BE6">
        <w:rPr>
          <w:rFonts w:ascii="Arial" w:eastAsia="Times New Roman" w:hAnsi="Arial" w:cs="Arial"/>
          <w:color w:val="000000"/>
          <w:sz w:val="20"/>
          <w:szCs w:val="20"/>
        </w:rPr>
        <w:lastRenderedPageBreak/>
        <w:t>The </w:t>
      </w:r>
      <w:r w:rsidRPr="002A0BE6">
        <w:rPr>
          <w:rFonts w:ascii="Arial" w:eastAsia="Times New Roman" w:hAnsi="Arial" w:cs="Arial"/>
          <w:b/>
          <w:bCs/>
          <w:color w:val="000000"/>
          <w:sz w:val="20"/>
          <w:szCs w:val="20"/>
        </w:rPr>
        <w:t>phenothiazine tranquilizers</w:t>
      </w:r>
      <w:r w:rsidRPr="002A0BE6">
        <w:rPr>
          <w:rFonts w:ascii="Arial" w:eastAsia="Times New Roman" w:hAnsi="Arial" w:cs="Arial"/>
          <w:color w:val="000000"/>
          <w:sz w:val="20"/>
          <w:szCs w:val="20"/>
        </w:rPr>
        <w:t xml:space="preserve"> antagonize the CNS stimulatory effects of dopamine, thereby decreasing vomiting from many causes. These drugs also have antihistaminic and weak anticholinergic action. Phenothiazine tranquilizers used as </w:t>
      </w:r>
      <w:proofErr w:type="spellStart"/>
      <w:r w:rsidRPr="002A0BE6">
        <w:rPr>
          <w:rFonts w:ascii="Arial" w:eastAsia="Times New Roman" w:hAnsi="Arial" w:cs="Arial"/>
          <w:color w:val="000000"/>
          <w:sz w:val="20"/>
          <w:szCs w:val="20"/>
        </w:rPr>
        <w:t>antiemetics</w:t>
      </w:r>
      <w:proofErr w:type="spellEnd"/>
      <w:r w:rsidRPr="002A0BE6">
        <w:rPr>
          <w:rFonts w:ascii="Arial" w:eastAsia="Times New Roman" w:hAnsi="Arial" w:cs="Arial"/>
          <w:color w:val="000000"/>
          <w:sz w:val="20"/>
          <w:szCs w:val="20"/>
        </w:rPr>
        <w:t xml:space="preserve"> include </w:t>
      </w:r>
      <w:proofErr w:type="spellStart"/>
      <w:r w:rsidRPr="002A0BE6">
        <w:rPr>
          <w:rFonts w:ascii="Arial" w:eastAsia="Times New Roman" w:hAnsi="Arial" w:cs="Arial"/>
          <w:color w:val="000000"/>
          <w:sz w:val="20"/>
          <w:szCs w:val="20"/>
        </w:rPr>
        <w:t>acepromazine</w:t>
      </w:r>
      <w:proofErr w:type="spellEnd"/>
      <w:r w:rsidRPr="002A0BE6">
        <w:rPr>
          <w:rFonts w:ascii="Arial" w:eastAsia="Times New Roman" w:hAnsi="Arial" w:cs="Arial"/>
          <w:color w:val="000000"/>
          <w:sz w:val="20"/>
          <w:szCs w:val="20"/>
        </w:rPr>
        <w:t xml:space="preserve">, chlorpromazine, and </w:t>
      </w:r>
      <w:proofErr w:type="spellStart"/>
      <w:r w:rsidRPr="002A0BE6">
        <w:rPr>
          <w:rFonts w:ascii="Arial" w:eastAsia="Times New Roman" w:hAnsi="Arial" w:cs="Arial"/>
          <w:color w:val="000000"/>
          <w:sz w:val="20"/>
          <w:szCs w:val="20"/>
        </w:rPr>
        <w:t>prochlorperazine</w:t>
      </w:r>
      <w:proofErr w:type="spellEnd"/>
      <w:r w:rsidRPr="002A0BE6">
        <w:rPr>
          <w:rFonts w:ascii="Arial" w:eastAsia="Times New Roman" w:hAnsi="Arial" w:cs="Arial"/>
          <w:color w:val="000000"/>
          <w:sz w:val="20"/>
          <w:szCs w:val="20"/>
        </w:rPr>
        <w:t>. Potential side effects include hypotension due to α-adrenergic blockade, excessive sedation, extrapyramidal signs, and a lowering of the seizure threshold in epileptics. Extrapyramidal signs can be counteracted with an antihistamine (such as diphenhydramine).</w:t>
      </w:r>
    </w:p>
    <w:p w:rsidR="002A0BE6" w:rsidRPr="002A0BE6" w:rsidRDefault="002A0BE6" w:rsidP="002A0BE6">
      <w:pPr>
        <w:pStyle w:val="ListParagraph"/>
        <w:numPr>
          <w:ilvl w:val="0"/>
          <w:numId w:val="2"/>
        </w:numPr>
        <w:shd w:val="clear" w:color="auto" w:fill="FFFFFF"/>
        <w:spacing w:after="288" w:line="336" w:lineRule="atLeast"/>
        <w:rPr>
          <w:rFonts w:ascii="Arial" w:eastAsia="Times New Roman" w:hAnsi="Arial" w:cs="Arial"/>
          <w:color w:val="000000"/>
          <w:sz w:val="20"/>
          <w:szCs w:val="20"/>
        </w:rPr>
      </w:pPr>
      <w:bookmarkStart w:id="93" w:name="v3330007"/>
      <w:bookmarkEnd w:id="93"/>
      <w:r w:rsidRPr="002A0BE6">
        <w:rPr>
          <w:rFonts w:ascii="Arial" w:eastAsia="Times New Roman" w:hAnsi="Arial" w:cs="Arial"/>
          <w:color w:val="000000"/>
          <w:sz w:val="20"/>
          <w:szCs w:val="20"/>
        </w:rPr>
        <w:t>The </w:t>
      </w:r>
      <w:r w:rsidRPr="002A0BE6">
        <w:rPr>
          <w:rFonts w:ascii="Arial" w:eastAsia="Times New Roman" w:hAnsi="Arial" w:cs="Arial"/>
          <w:b/>
          <w:bCs/>
          <w:color w:val="000000"/>
          <w:sz w:val="20"/>
          <w:szCs w:val="20"/>
        </w:rPr>
        <w:t>anticholinergic drugs</w:t>
      </w:r>
      <w:r w:rsidRPr="002A0BE6">
        <w:rPr>
          <w:rFonts w:ascii="Arial" w:eastAsia="Times New Roman" w:hAnsi="Arial" w:cs="Arial"/>
          <w:color w:val="000000"/>
          <w:sz w:val="20"/>
          <w:szCs w:val="20"/>
        </w:rPr>
        <w:t xml:space="preserve"> block cholinergic afferent pathways from the GI tract and the vestibular system to the vomiting center. Alone, they are less effective than the other emetics. Atropine, scopolamine, and </w:t>
      </w:r>
      <w:proofErr w:type="spellStart"/>
      <w:r w:rsidRPr="002A0BE6">
        <w:rPr>
          <w:rFonts w:ascii="Arial" w:eastAsia="Times New Roman" w:hAnsi="Arial" w:cs="Arial"/>
          <w:color w:val="000000"/>
          <w:sz w:val="20"/>
          <w:szCs w:val="20"/>
        </w:rPr>
        <w:t>isopropamide</w:t>
      </w:r>
      <w:proofErr w:type="spellEnd"/>
      <w:r w:rsidRPr="002A0BE6">
        <w:rPr>
          <w:rFonts w:ascii="Arial" w:eastAsia="Times New Roman" w:hAnsi="Arial" w:cs="Arial"/>
          <w:color w:val="000000"/>
          <w:sz w:val="20"/>
          <w:szCs w:val="20"/>
        </w:rPr>
        <w:t xml:space="preserve"> cross the blood-brain barrier. They tend to have a brief duration of effect and cause excitement in cats. Peripherally-acting anticholinergic drugs include </w:t>
      </w:r>
      <w:proofErr w:type="spellStart"/>
      <w:r w:rsidRPr="002A0BE6">
        <w:rPr>
          <w:rFonts w:ascii="Arial" w:eastAsia="Times New Roman" w:hAnsi="Arial" w:cs="Arial"/>
          <w:color w:val="000000"/>
          <w:sz w:val="20"/>
          <w:szCs w:val="20"/>
        </w:rPr>
        <w:t>glycopyrrolate</w:t>
      </w:r>
      <w:proofErr w:type="spellEnd"/>
      <w:r w:rsidRPr="002A0BE6">
        <w:rPr>
          <w:rFonts w:ascii="Arial" w:eastAsia="Times New Roman" w:hAnsi="Arial" w:cs="Arial"/>
          <w:color w:val="000000"/>
          <w:sz w:val="20"/>
          <w:szCs w:val="20"/>
        </w:rPr>
        <w:t xml:space="preserve">, </w:t>
      </w:r>
      <w:proofErr w:type="spellStart"/>
      <w:r w:rsidRPr="002A0BE6">
        <w:rPr>
          <w:rFonts w:ascii="Arial" w:eastAsia="Times New Roman" w:hAnsi="Arial" w:cs="Arial"/>
          <w:color w:val="000000"/>
          <w:sz w:val="20"/>
          <w:szCs w:val="20"/>
        </w:rPr>
        <w:t>propantheline</w:t>
      </w:r>
      <w:proofErr w:type="spellEnd"/>
      <w:r w:rsidRPr="002A0BE6">
        <w:rPr>
          <w:rFonts w:ascii="Arial" w:eastAsia="Times New Roman" w:hAnsi="Arial" w:cs="Arial"/>
          <w:color w:val="000000"/>
          <w:sz w:val="20"/>
          <w:szCs w:val="20"/>
        </w:rPr>
        <w:t xml:space="preserve">, and </w:t>
      </w:r>
      <w:proofErr w:type="spellStart"/>
      <w:r w:rsidRPr="002A0BE6">
        <w:rPr>
          <w:rFonts w:ascii="Arial" w:eastAsia="Times New Roman" w:hAnsi="Arial" w:cs="Arial"/>
          <w:color w:val="000000"/>
          <w:sz w:val="20"/>
          <w:szCs w:val="20"/>
        </w:rPr>
        <w:t>methscopolamine</w:t>
      </w:r>
      <w:proofErr w:type="spellEnd"/>
      <w:r w:rsidRPr="002A0BE6">
        <w:rPr>
          <w:rFonts w:ascii="Arial" w:eastAsia="Times New Roman" w:hAnsi="Arial" w:cs="Arial"/>
          <w:color w:val="000000"/>
          <w:sz w:val="20"/>
          <w:szCs w:val="20"/>
        </w:rPr>
        <w:t xml:space="preserve">. Only </w:t>
      </w:r>
      <w:proofErr w:type="spellStart"/>
      <w:r w:rsidRPr="002A0BE6">
        <w:rPr>
          <w:rFonts w:ascii="Arial" w:eastAsia="Times New Roman" w:hAnsi="Arial" w:cs="Arial"/>
          <w:color w:val="000000"/>
          <w:sz w:val="20"/>
          <w:szCs w:val="20"/>
        </w:rPr>
        <w:t>isopropamide</w:t>
      </w:r>
      <w:proofErr w:type="spellEnd"/>
      <w:r w:rsidRPr="002A0BE6">
        <w:rPr>
          <w:rFonts w:ascii="Arial" w:eastAsia="Times New Roman" w:hAnsi="Arial" w:cs="Arial"/>
          <w:color w:val="000000"/>
          <w:sz w:val="20"/>
          <w:szCs w:val="20"/>
        </w:rPr>
        <w:t xml:space="preserve"> and </w:t>
      </w:r>
      <w:proofErr w:type="spellStart"/>
      <w:r w:rsidRPr="002A0BE6">
        <w:rPr>
          <w:rFonts w:ascii="Arial" w:eastAsia="Times New Roman" w:hAnsi="Arial" w:cs="Arial"/>
          <w:color w:val="000000"/>
          <w:sz w:val="20"/>
          <w:szCs w:val="20"/>
        </w:rPr>
        <w:t>propantheline</w:t>
      </w:r>
      <w:proofErr w:type="spellEnd"/>
      <w:r w:rsidRPr="002A0BE6">
        <w:rPr>
          <w:rFonts w:ascii="Arial" w:eastAsia="Times New Roman" w:hAnsi="Arial" w:cs="Arial"/>
          <w:color w:val="000000"/>
          <w:sz w:val="20"/>
          <w:szCs w:val="20"/>
        </w:rPr>
        <w:t xml:space="preserve"> are commonly used in small animals for vomiting related to vestibular stimulation (also see </w:t>
      </w:r>
      <w:hyperlink r:id="rId7" w:history="1">
        <w:r w:rsidRPr="002A0BE6">
          <w:rPr>
            <w:rFonts w:ascii="Arial" w:eastAsia="Times New Roman" w:hAnsi="Arial" w:cs="Arial"/>
            <w:color w:val="33664D"/>
            <w:sz w:val="18"/>
            <w:szCs w:val="18"/>
            <w:u w:val="single"/>
          </w:rPr>
          <w:t>Motion Sickness</w:t>
        </w:r>
      </w:hyperlink>
      <w:r w:rsidRPr="002A0BE6">
        <w:rPr>
          <w:rFonts w:ascii="Arial" w:eastAsia="Times New Roman" w:hAnsi="Arial" w:cs="Arial"/>
          <w:color w:val="000000"/>
          <w:sz w:val="20"/>
          <w:szCs w:val="20"/>
        </w:rPr>
        <w:t>).</w:t>
      </w:r>
    </w:p>
    <w:p w:rsidR="002A0BE6" w:rsidRPr="002A0BE6" w:rsidRDefault="002A0BE6" w:rsidP="002A0BE6">
      <w:pPr>
        <w:pStyle w:val="ListParagraph"/>
        <w:numPr>
          <w:ilvl w:val="0"/>
          <w:numId w:val="2"/>
        </w:numPr>
        <w:shd w:val="clear" w:color="auto" w:fill="FFFFFF"/>
        <w:spacing w:after="288" w:line="336" w:lineRule="atLeast"/>
        <w:rPr>
          <w:rFonts w:ascii="Arial" w:eastAsia="Times New Roman" w:hAnsi="Arial" w:cs="Arial"/>
          <w:color w:val="000000"/>
          <w:sz w:val="20"/>
          <w:szCs w:val="20"/>
        </w:rPr>
      </w:pPr>
      <w:bookmarkStart w:id="94" w:name="v3330015"/>
      <w:bookmarkEnd w:id="94"/>
      <w:r w:rsidRPr="002A0BE6">
        <w:rPr>
          <w:rFonts w:ascii="Arial" w:eastAsia="Times New Roman" w:hAnsi="Arial" w:cs="Arial"/>
          <w:color w:val="000000"/>
          <w:sz w:val="20"/>
          <w:szCs w:val="20"/>
        </w:rPr>
        <w:t>The </w:t>
      </w:r>
      <w:r w:rsidRPr="002A0BE6">
        <w:rPr>
          <w:rFonts w:ascii="Arial" w:eastAsia="Times New Roman" w:hAnsi="Arial" w:cs="Arial"/>
          <w:b/>
          <w:bCs/>
          <w:color w:val="000000"/>
          <w:sz w:val="20"/>
          <w:szCs w:val="20"/>
        </w:rPr>
        <w:t>antihistamines</w:t>
      </w:r>
      <w:r w:rsidRPr="002A0BE6">
        <w:rPr>
          <w:rFonts w:ascii="Arial" w:eastAsia="Times New Roman" w:hAnsi="Arial" w:cs="Arial"/>
          <w:color w:val="000000"/>
          <w:sz w:val="20"/>
          <w:szCs w:val="20"/>
        </w:rPr>
        <w:t> can block both cholinergic and histaminic nerve transmission responsible for transmission of the vestibular stimulus to the vomiting center. The histamine (H</w:t>
      </w:r>
      <w:r w:rsidRPr="002A0BE6">
        <w:rPr>
          <w:rFonts w:ascii="Arial" w:eastAsia="Times New Roman" w:hAnsi="Arial" w:cs="Arial"/>
          <w:color w:val="000000"/>
          <w:sz w:val="20"/>
          <w:szCs w:val="20"/>
          <w:vertAlign w:val="subscript"/>
        </w:rPr>
        <w:t>1</w:t>
      </w:r>
      <w:r w:rsidRPr="002A0BE6">
        <w:rPr>
          <w:rFonts w:ascii="Arial" w:eastAsia="Times New Roman" w:hAnsi="Arial" w:cs="Arial"/>
          <w:color w:val="000000"/>
          <w:sz w:val="20"/>
          <w:szCs w:val="20"/>
        </w:rPr>
        <w:t xml:space="preserve">)-blocking drugs include diphenhydramine, </w:t>
      </w:r>
      <w:proofErr w:type="spellStart"/>
      <w:r w:rsidRPr="002A0BE6">
        <w:rPr>
          <w:rFonts w:ascii="Arial" w:eastAsia="Times New Roman" w:hAnsi="Arial" w:cs="Arial"/>
          <w:color w:val="000000"/>
          <w:sz w:val="20"/>
          <w:szCs w:val="20"/>
        </w:rPr>
        <w:t>dimenhydrinate</w:t>
      </w:r>
      <w:proofErr w:type="spellEnd"/>
      <w:r w:rsidRPr="002A0BE6">
        <w:rPr>
          <w:rFonts w:ascii="Arial" w:eastAsia="Times New Roman" w:hAnsi="Arial" w:cs="Arial"/>
          <w:color w:val="000000"/>
          <w:sz w:val="20"/>
          <w:szCs w:val="20"/>
        </w:rPr>
        <w:t xml:space="preserve">, </w:t>
      </w:r>
      <w:proofErr w:type="spellStart"/>
      <w:r w:rsidRPr="002A0BE6">
        <w:rPr>
          <w:rFonts w:ascii="Arial" w:eastAsia="Times New Roman" w:hAnsi="Arial" w:cs="Arial"/>
          <w:color w:val="000000"/>
          <w:sz w:val="20"/>
          <w:szCs w:val="20"/>
        </w:rPr>
        <w:t>prometh-azine</w:t>
      </w:r>
      <w:proofErr w:type="spellEnd"/>
      <w:r w:rsidRPr="002A0BE6">
        <w:rPr>
          <w:rFonts w:ascii="Arial" w:eastAsia="Times New Roman" w:hAnsi="Arial" w:cs="Arial"/>
          <w:color w:val="000000"/>
          <w:sz w:val="20"/>
          <w:szCs w:val="20"/>
        </w:rPr>
        <w:t xml:space="preserve"> (a phenothiazine with H</w:t>
      </w:r>
      <w:r w:rsidRPr="002A0BE6">
        <w:rPr>
          <w:rFonts w:ascii="Arial" w:eastAsia="Times New Roman" w:hAnsi="Arial" w:cs="Arial"/>
          <w:color w:val="000000"/>
          <w:sz w:val="20"/>
          <w:szCs w:val="20"/>
          <w:vertAlign w:val="subscript"/>
        </w:rPr>
        <w:t>1</w:t>
      </w:r>
      <w:r w:rsidRPr="002A0BE6">
        <w:rPr>
          <w:rFonts w:ascii="Arial" w:eastAsia="Times New Roman" w:hAnsi="Arial" w:cs="Arial"/>
          <w:color w:val="000000"/>
          <w:sz w:val="20"/>
          <w:szCs w:val="20"/>
        </w:rPr>
        <w:t xml:space="preserve">- effects), </w:t>
      </w:r>
      <w:proofErr w:type="spellStart"/>
      <w:r w:rsidRPr="002A0BE6">
        <w:rPr>
          <w:rFonts w:ascii="Arial" w:eastAsia="Times New Roman" w:hAnsi="Arial" w:cs="Arial"/>
          <w:color w:val="000000"/>
          <w:sz w:val="20"/>
          <w:szCs w:val="20"/>
        </w:rPr>
        <w:t>cyclizine</w:t>
      </w:r>
      <w:proofErr w:type="spellEnd"/>
      <w:r w:rsidRPr="002A0BE6">
        <w:rPr>
          <w:rFonts w:ascii="Arial" w:eastAsia="Times New Roman" w:hAnsi="Arial" w:cs="Arial"/>
          <w:color w:val="000000"/>
          <w:sz w:val="20"/>
          <w:szCs w:val="20"/>
        </w:rPr>
        <w:t xml:space="preserve">, and meclizine. They may cause mild sedation, especially diphenhydramine, </w:t>
      </w:r>
      <w:proofErr w:type="spellStart"/>
      <w:r w:rsidRPr="002A0BE6">
        <w:rPr>
          <w:rFonts w:ascii="Arial" w:eastAsia="Times New Roman" w:hAnsi="Arial" w:cs="Arial"/>
          <w:color w:val="000000"/>
          <w:sz w:val="20"/>
          <w:szCs w:val="20"/>
        </w:rPr>
        <w:t>dimenhydrinate</w:t>
      </w:r>
      <w:proofErr w:type="spellEnd"/>
      <w:r w:rsidRPr="002A0BE6">
        <w:rPr>
          <w:rFonts w:ascii="Arial" w:eastAsia="Times New Roman" w:hAnsi="Arial" w:cs="Arial"/>
          <w:color w:val="000000"/>
          <w:sz w:val="20"/>
          <w:szCs w:val="20"/>
        </w:rPr>
        <w:t xml:space="preserve">, and promethazine. </w:t>
      </w:r>
      <w:proofErr w:type="spellStart"/>
      <w:r w:rsidRPr="002A0BE6">
        <w:rPr>
          <w:rFonts w:ascii="Arial" w:eastAsia="Times New Roman" w:hAnsi="Arial" w:cs="Arial"/>
          <w:color w:val="000000"/>
          <w:sz w:val="20"/>
          <w:szCs w:val="20"/>
        </w:rPr>
        <w:t>Cyclizine</w:t>
      </w:r>
      <w:proofErr w:type="spellEnd"/>
      <w:r w:rsidRPr="002A0BE6">
        <w:rPr>
          <w:rFonts w:ascii="Arial" w:eastAsia="Times New Roman" w:hAnsi="Arial" w:cs="Arial"/>
          <w:color w:val="000000"/>
          <w:sz w:val="20"/>
          <w:szCs w:val="20"/>
        </w:rPr>
        <w:t xml:space="preserve"> and meclizine are potentially teratogenic at high doses.</w:t>
      </w:r>
    </w:p>
    <w:p w:rsidR="002A0BE6" w:rsidRPr="002A0BE6" w:rsidRDefault="002A0BE6" w:rsidP="002A0BE6">
      <w:pPr>
        <w:pStyle w:val="ListParagraph"/>
        <w:numPr>
          <w:ilvl w:val="0"/>
          <w:numId w:val="2"/>
        </w:numPr>
        <w:shd w:val="clear" w:color="auto" w:fill="FFFFFF"/>
        <w:spacing w:after="288" w:line="336" w:lineRule="atLeast"/>
        <w:rPr>
          <w:rFonts w:ascii="Arial" w:eastAsia="Times New Roman" w:hAnsi="Arial" w:cs="Arial"/>
          <w:color w:val="000000"/>
          <w:sz w:val="20"/>
          <w:szCs w:val="20"/>
        </w:rPr>
      </w:pPr>
      <w:bookmarkStart w:id="95" w:name="v3330114"/>
      <w:bookmarkEnd w:id="95"/>
      <w:r w:rsidRPr="002A0BE6">
        <w:rPr>
          <w:rFonts w:ascii="Arial" w:eastAsia="Times New Roman" w:hAnsi="Arial" w:cs="Arial"/>
          <w:b/>
          <w:bCs/>
          <w:color w:val="000000"/>
          <w:sz w:val="20"/>
          <w:szCs w:val="20"/>
        </w:rPr>
        <w:t>Metoclopramide</w:t>
      </w:r>
      <w:r w:rsidRPr="002A0BE6">
        <w:rPr>
          <w:rFonts w:ascii="Arial" w:eastAsia="Times New Roman" w:hAnsi="Arial" w:cs="Arial"/>
          <w:color w:val="000000"/>
          <w:sz w:val="20"/>
          <w:szCs w:val="20"/>
        </w:rPr>
        <w:t xml:space="preserve"> exerts its antiemetic effects via 3 mechanisms. At low doses, it inhibits dopaminergic transmission in the CNS, while at high </w:t>
      </w:r>
      <w:proofErr w:type="gramStart"/>
      <w:r w:rsidRPr="002A0BE6">
        <w:rPr>
          <w:rFonts w:ascii="Arial" w:eastAsia="Times New Roman" w:hAnsi="Arial" w:cs="Arial"/>
          <w:color w:val="000000"/>
          <w:sz w:val="20"/>
          <w:szCs w:val="20"/>
        </w:rPr>
        <w:t>doses,</w:t>
      </w:r>
      <w:proofErr w:type="gramEnd"/>
      <w:r w:rsidRPr="002A0BE6">
        <w:rPr>
          <w:rFonts w:ascii="Arial" w:eastAsia="Times New Roman" w:hAnsi="Arial" w:cs="Arial"/>
          <w:color w:val="000000"/>
          <w:sz w:val="20"/>
          <w:szCs w:val="20"/>
        </w:rPr>
        <w:t xml:space="preserve"> it inhibits serotonin receptors in the CTZ. Peripherally, metoclopramide increases gastric and upper duodenal emptying. Metoclopramide is a popular antiemetic for small animals. It is used to control emesis induced by chemotherapy, nausea and vomiting associated with delayed gastric emptying, reflux gastritis, and viral enteritis. There is tremendous individual variability in metoclopramide pharmacokinetics, and oral bioavailability is only </w:t>
      </w:r>
      <w:r w:rsidRPr="002A0BE6">
        <w:rPr>
          <w:rFonts w:ascii="Cambria Math" w:eastAsia="Times New Roman" w:hAnsi="Cambria Math" w:cs="Cambria Math"/>
          <w:color w:val="000000"/>
          <w:sz w:val="20"/>
          <w:szCs w:val="20"/>
        </w:rPr>
        <w:t>∼</w:t>
      </w:r>
      <w:r w:rsidRPr="002A0BE6">
        <w:rPr>
          <w:rFonts w:ascii="Arial" w:eastAsia="Times New Roman" w:hAnsi="Arial" w:cs="Arial"/>
          <w:color w:val="000000"/>
          <w:sz w:val="20"/>
          <w:szCs w:val="20"/>
        </w:rPr>
        <w:t>50% due to a significant first-pass effect. At high doses or with rapid IV administration, metoclopramide causes CNS excitement by dopamine antagonism (similar to the phenothiazine tranquilizers). Extrapyramidal signs can be counteracted with an antihistamine such as diphenhydramine. Metoclopramide should not be administered if a GI obstruction or perforation is suspected.</w:t>
      </w:r>
    </w:p>
    <w:p w:rsidR="002A0BE6" w:rsidRPr="002A0BE6" w:rsidRDefault="002A0BE6" w:rsidP="002A0BE6">
      <w:pPr>
        <w:pStyle w:val="ListParagraph"/>
        <w:numPr>
          <w:ilvl w:val="0"/>
          <w:numId w:val="2"/>
        </w:numPr>
        <w:shd w:val="clear" w:color="auto" w:fill="FFFFFF"/>
        <w:spacing w:after="288" w:line="336" w:lineRule="atLeast"/>
        <w:rPr>
          <w:rFonts w:ascii="Arial" w:eastAsia="Times New Roman" w:hAnsi="Arial" w:cs="Arial"/>
          <w:color w:val="000000"/>
          <w:sz w:val="20"/>
          <w:szCs w:val="20"/>
        </w:rPr>
      </w:pPr>
      <w:bookmarkStart w:id="96" w:name="v3330116"/>
      <w:bookmarkEnd w:id="96"/>
      <w:r w:rsidRPr="002A0BE6">
        <w:rPr>
          <w:rFonts w:ascii="Arial" w:eastAsia="Times New Roman" w:hAnsi="Arial" w:cs="Arial"/>
          <w:color w:val="000000"/>
          <w:sz w:val="20"/>
          <w:szCs w:val="20"/>
        </w:rPr>
        <w:lastRenderedPageBreak/>
        <w:t>The </w:t>
      </w:r>
      <w:r w:rsidRPr="002A0BE6">
        <w:rPr>
          <w:rFonts w:ascii="Arial" w:eastAsia="Times New Roman" w:hAnsi="Arial" w:cs="Arial"/>
          <w:b/>
          <w:bCs/>
          <w:color w:val="000000"/>
          <w:sz w:val="20"/>
          <w:szCs w:val="20"/>
        </w:rPr>
        <w:t xml:space="preserve">serotonin </w:t>
      </w:r>
      <w:proofErr w:type="spellStart"/>
      <w:r w:rsidRPr="002A0BE6">
        <w:rPr>
          <w:rFonts w:ascii="Arial" w:eastAsia="Times New Roman" w:hAnsi="Arial" w:cs="Arial"/>
          <w:b/>
          <w:bCs/>
          <w:color w:val="000000"/>
          <w:sz w:val="20"/>
          <w:szCs w:val="20"/>
        </w:rPr>
        <w:t>antagonists</w:t>
      </w:r>
      <w:r w:rsidRPr="002A0BE6">
        <w:rPr>
          <w:rFonts w:ascii="Arial" w:eastAsia="Times New Roman" w:hAnsi="Arial" w:cs="Arial"/>
          <w:color w:val="000000"/>
          <w:sz w:val="20"/>
          <w:szCs w:val="20"/>
        </w:rPr>
        <w:t>ondanse-tron</w:t>
      </w:r>
      <w:proofErr w:type="spellEnd"/>
      <w:r w:rsidRPr="002A0BE6">
        <w:rPr>
          <w:rFonts w:ascii="Arial" w:eastAsia="Times New Roman" w:hAnsi="Arial" w:cs="Arial"/>
          <w:color w:val="000000"/>
          <w:sz w:val="20"/>
          <w:szCs w:val="20"/>
        </w:rPr>
        <w:t xml:space="preserve">, </w:t>
      </w:r>
      <w:proofErr w:type="spellStart"/>
      <w:r w:rsidRPr="002A0BE6">
        <w:rPr>
          <w:rFonts w:ascii="Arial" w:eastAsia="Times New Roman" w:hAnsi="Arial" w:cs="Arial"/>
          <w:color w:val="000000"/>
          <w:sz w:val="20"/>
          <w:szCs w:val="20"/>
        </w:rPr>
        <w:t>granisetron</w:t>
      </w:r>
      <w:proofErr w:type="spellEnd"/>
      <w:r w:rsidRPr="002A0BE6">
        <w:rPr>
          <w:rFonts w:ascii="Arial" w:eastAsia="Times New Roman" w:hAnsi="Arial" w:cs="Arial"/>
          <w:color w:val="000000"/>
          <w:sz w:val="20"/>
          <w:szCs w:val="20"/>
        </w:rPr>
        <w:t xml:space="preserve">, and </w:t>
      </w:r>
      <w:proofErr w:type="spellStart"/>
      <w:r w:rsidRPr="002A0BE6">
        <w:rPr>
          <w:rFonts w:ascii="Arial" w:eastAsia="Times New Roman" w:hAnsi="Arial" w:cs="Arial"/>
          <w:color w:val="000000"/>
          <w:sz w:val="20"/>
          <w:szCs w:val="20"/>
        </w:rPr>
        <w:t>dolasetron</w:t>
      </w:r>
      <w:proofErr w:type="spellEnd"/>
      <w:r w:rsidRPr="002A0BE6">
        <w:rPr>
          <w:rFonts w:ascii="Arial" w:eastAsia="Times New Roman" w:hAnsi="Arial" w:cs="Arial"/>
          <w:color w:val="000000"/>
          <w:sz w:val="20"/>
          <w:szCs w:val="20"/>
        </w:rPr>
        <w:t xml:space="preserve"> are specific inhibitors of serotonin subtype 3 receptors in the CTZ. These receptors are located peripherally on vagal nerve terminals and centrally in the area </w:t>
      </w:r>
      <w:proofErr w:type="spellStart"/>
      <w:r w:rsidRPr="002A0BE6">
        <w:rPr>
          <w:rFonts w:ascii="Arial" w:eastAsia="Times New Roman" w:hAnsi="Arial" w:cs="Arial"/>
          <w:color w:val="000000"/>
          <w:sz w:val="20"/>
          <w:szCs w:val="20"/>
        </w:rPr>
        <w:t>postrema</w:t>
      </w:r>
      <w:proofErr w:type="spellEnd"/>
      <w:r w:rsidRPr="002A0BE6">
        <w:rPr>
          <w:rFonts w:ascii="Arial" w:eastAsia="Times New Roman" w:hAnsi="Arial" w:cs="Arial"/>
          <w:color w:val="000000"/>
          <w:sz w:val="20"/>
          <w:szCs w:val="20"/>
        </w:rPr>
        <w:t xml:space="preserve"> of the brain. Cytotoxic drugs and radiation damage the GI mucosa, causing release of serotonin. These are the most effective </w:t>
      </w:r>
      <w:proofErr w:type="spellStart"/>
      <w:r w:rsidRPr="002A0BE6">
        <w:rPr>
          <w:rFonts w:ascii="Arial" w:eastAsia="Times New Roman" w:hAnsi="Arial" w:cs="Arial"/>
          <w:color w:val="000000"/>
          <w:sz w:val="20"/>
          <w:szCs w:val="20"/>
        </w:rPr>
        <w:t>antiemetics</w:t>
      </w:r>
      <w:proofErr w:type="spellEnd"/>
      <w:r w:rsidRPr="002A0BE6">
        <w:rPr>
          <w:rFonts w:ascii="Arial" w:eastAsia="Times New Roman" w:hAnsi="Arial" w:cs="Arial"/>
          <w:color w:val="000000"/>
          <w:sz w:val="20"/>
          <w:szCs w:val="20"/>
        </w:rPr>
        <w:t xml:space="preserve"> used in people undergoing radiation and chemotherapy, and they have been used in cats and dogs receiving chemotherapy. </w:t>
      </w:r>
      <w:proofErr w:type="spellStart"/>
      <w:r w:rsidRPr="002A0BE6">
        <w:rPr>
          <w:rFonts w:ascii="Arial" w:eastAsia="Times New Roman" w:hAnsi="Arial" w:cs="Arial"/>
          <w:color w:val="000000"/>
          <w:sz w:val="20"/>
          <w:szCs w:val="20"/>
        </w:rPr>
        <w:t>Granisetron</w:t>
      </w:r>
      <w:proofErr w:type="spellEnd"/>
      <w:r w:rsidRPr="002A0BE6">
        <w:rPr>
          <w:rFonts w:ascii="Arial" w:eastAsia="Times New Roman" w:hAnsi="Arial" w:cs="Arial"/>
          <w:color w:val="000000"/>
          <w:sz w:val="20"/>
          <w:szCs w:val="20"/>
        </w:rPr>
        <w:t xml:space="preserve"> is more effective than </w:t>
      </w:r>
      <w:proofErr w:type="spellStart"/>
      <w:r w:rsidRPr="002A0BE6">
        <w:rPr>
          <w:rFonts w:ascii="Arial" w:eastAsia="Times New Roman" w:hAnsi="Arial" w:cs="Arial"/>
          <w:color w:val="000000"/>
          <w:sz w:val="20"/>
          <w:szCs w:val="20"/>
        </w:rPr>
        <w:t>ondan-setron</w:t>
      </w:r>
      <w:proofErr w:type="spellEnd"/>
      <w:r w:rsidRPr="002A0BE6">
        <w:rPr>
          <w:rFonts w:ascii="Arial" w:eastAsia="Times New Roman" w:hAnsi="Arial" w:cs="Arial"/>
          <w:color w:val="000000"/>
          <w:sz w:val="20"/>
          <w:szCs w:val="20"/>
        </w:rPr>
        <w:t xml:space="preserve"> in the inhibition of cisplatin-induced nausea in dogs. They are not effective for emesis caused by motion sickness. All serotonin subtype 3 antagonists have been associated with QT interval prolongation in humans. Adverse effects of </w:t>
      </w:r>
      <w:proofErr w:type="spellStart"/>
      <w:r w:rsidRPr="002A0BE6">
        <w:rPr>
          <w:rFonts w:ascii="Arial" w:eastAsia="Times New Roman" w:hAnsi="Arial" w:cs="Arial"/>
          <w:color w:val="000000"/>
          <w:sz w:val="20"/>
          <w:szCs w:val="20"/>
        </w:rPr>
        <w:t>dolasetron</w:t>
      </w:r>
      <w:proofErr w:type="spellEnd"/>
      <w:r w:rsidRPr="002A0BE6">
        <w:rPr>
          <w:rFonts w:ascii="Arial" w:eastAsia="Times New Roman" w:hAnsi="Arial" w:cs="Arial"/>
          <w:color w:val="000000"/>
          <w:sz w:val="20"/>
          <w:szCs w:val="20"/>
        </w:rPr>
        <w:t xml:space="preserve"> include ECG changes (PR and QT prolongation, QRS widening) caused by </w:t>
      </w:r>
      <w:proofErr w:type="spellStart"/>
      <w:r w:rsidRPr="002A0BE6">
        <w:rPr>
          <w:rFonts w:ascii="Arial" w:eastAsia="Times New Roman" w:hAnsi="Arial" w:cs="Arial"/>
          <w:color w:val="000000"/>
          <w:sz w:val="20"/>
          <w:szCs w:val="20"/>
        </w:rPr>
        <w:t>dolasetron</w:t>
      </w:r>
      <w:proofErr w:type="spellEnd"/>
      <w:r w:rsidRPr="002A0BE6">
        <w:rPr>
          <w:rFonts w:ascii="Arial" w:eastAsia="Times New Roman" w:hAnsi="Arial" w:cs="Arial"/>
          <w:color w:val="000000"/>
          <w:sz w:val="20"/>
          <w:szCs w:val="20"/>
        </w:rPr>
        <w:t xml:space="preserve"> metabolites that block sodium channels.</w:t>
      </w:r>
    </w:p>
    <w:p w:rsidR="002A0BE6" w:rsidRPr="002A0BE6" w:rsidRDefault="002A0BE6" w:rsidP="002A0BE6">
      <w:pPr>
        <w:pStyle w:val="ListParagraph"/>
        <w:numPr>
          <w:ilvl w:val="0"/>
          <w:numId w:val="2"/>
        </w:numPr>
        <w:shd w:val="clear" w:color="auto" w:fill="FFFFFF"/>
        <w:spacing w:after="288" w:line="336" w:lineRule="atLeast"/>
        <w:rPr>
          <w:rFonts w:ascii="Arial" w:eastAsia="Times New Roman" w:hAnsi="Arial" w:cs="Arial"/>
          <w:color w:val="000000"/>
          <w:sz w:val="20"/>
          <w:szCs w:val="20"/>
        </w:rPr>
      </w:pPr>
      <w:bookmarkStart w:id="97" w:name="v3330120"/>
      <w:bookmarkEnd w:id="97"/>
      <w:proofErr w:type="spellStart"/>
      <w:r w:rsidRPr="002A0BE6">
        <w:rPr>
          <w:rFonts w:ascii="Arial" w:eastAsia="Times New Roman" w:hAnsi="Arial" w:cs="Arial"/>
          <w:b/>
          <w:bCs/>
          <w:color w:val="000000"/>
          <w:sz w:val="20"/>
          <w:szCs w:val="20"/>
        </w:rPr>
        <w:t>Butorphanol</w:t>
      </w:r>
      <w:proofErr w:type="spellEnd"/>
      <w:r w:rsidRPr="002A0BE6">
        <w:rPr>
          <w:rFonts w:ascii="Arial" w:eastAsia="Times New Roman" w:hAnsi="Arial" w:cs="Arial"/>
          <w:color w:val="000000"/>
          <w:sz w:val="20"/>
          <w:szCs w:val="20"/>
        </w:rPr>
        <w:t> is an effective antiemetic for dogs receiving cisplatin chemotherapy. It causes only mild sedation. It is believed to exert its antiemetic effect directly on the vomiting center.</w:t>
      </w:r>
    </w:p>
    <w:p w:rsidR="002A0BE6" w:rsidRPr="002A0BE6" w:rsidRDefault="002A0BE6" w:rsidP="002A0BE6">
      <w:pPr>
        <w:pStyle w:val="ListParagraph"/>
        <w:numPr>
          <w:ilvl w:val="0"/>
          <w:numId w:val="2"/>
        </w:numPr>
        <w:shd w:val="clear" w:color="auto" w:fill="FFFFFF"/>
        <w:spacing w:after="288" w:line="336" w:lineRule="atLeast"/>
        <w:rPr>
          <w:rFonts w:ascii="Arial" w:eastAsia="Times New Roman" w:hAnsi="Arial" w:cs="Arial"/>
          <w:color w:val="000000"/>
          <w:sz w:val="20"/>
          <w:szCs w:val="20"/>
        </w:rPr>
      </w:pPr>
      <w:bookmarkStart w:id="98" w:name="v3330122"/>
      <w:bookmarkEnd w:id="98"/>
      <w:proofErr w:type="spellStart"/>
      <w:r w:rsidRPr="002A0BE6">
        <w:rPr>
          <w:rFonts w:ascii="Arial" w:eastAsia="Times New Roman" w:hAnsi="Arial" w:cs="Arial"/>
          <w:b/>
          <w:bCs/>
          <w:color w:val="000000"/>
          <w:sz w:val="20"/>
          <w:szCs w:val="20"/>
        </w:rPr>
        <w:t>Maropitant</w:t>
      </w:r>
      <w:proofErr w:type="spellEnd"/>
      <w:r w:rsidRPr="002A0BE6">
        <w:rPr>
          <w:rFonts w:ascii="Arial" w:eastAsia="Times New Roman" w:hAnsi="Arial" w:cs="Arial"/>
          <w:color w:val="000000"/>
          <w:sz w:val="20"/>
          <w:szCs w:val="20"/>
        </w:rPr>
        <w:t xml:space="preserve"> is a </w:t>
      </w:r>
      <w:proofErr w:type="spellStart"/>
      <w:r w:rsidRPr="002A0BE6">
        <w:rPr>
          <w:rFonts w:ascii="Arial" w:eastAsia="Times New Roman" w:hAnsi="Arial" w:cs="Arial"/>
          <w:color w:val="000000"/>
          <w:sz w:val="20"/>
          <w:szCs w:val="20"/>
        </w:rPr>
        <w:t>neurokinen</w:t>
      </w:r>
      <w:proofErr w:type="spellEnd"/>
      <w:r w:rsidRPr="002A0BE6">
        <w:rPr>
          <w:rFonts w:ascii="Arial" w:eastAsia="Times New Roman" w:hAnsi="Arial" w:cs="Arial"/>
          <w:color w:val="000000"/>
          <w:sz w:val="20"/>
          <w:szCs w:val="20"/>
        </w:rPr>
        <w:t xml:space="preserve"> 1 (NK-1) receptor antagonist approved to treat and prevent emesis in dogs. Until very recently, only 3 neurotransmitter receptors (dopamine D2, serotonin subtype 3, and cannabinoid-1) were identified targets of currently available antiemetic drugs. It is now established that substance P has a role in emesis. Substance P is a regulatory peptide that binds to the NK-1 receptors, which are found in the gut and the emetic center of the CNS. Substance P induces emesis, and selective substance P antagonists are potent </w:t>
      </w:r>
      <w:proofErr w:type="spellStart"/>
      <w:r w:rsidRPr="002A0BE6">
        <w:rPr>
          <w:rFonts w:ascii="Arial" w:eastAsia="Times New Roman" w:hAnsi="Arial" w:cs="Arial"/>
          <w:color w:val="000000"/>
          <w:sz w:val="20"/>
          <w:szCs w:val="20"/>
        </w:rPr>
        <w:t>antiemetics</w:t>
      </w:r>
      <w:proofErr w:type="spellEnd"/>
      <w:r w:rsidRPr="002A0BE6">
        <w:rPr>
          <w:rFonts w:ascii="Arial" w:eastAsia="Times New Roman" w:hAnsi="Arial" w:cs="Arial"/>
          <w:color w:val="000000"/>
          <w:sz w:val="20"/>
          <w:szCs w:val="20"/>
        </w:rPr>
        <w:t xml:space="preserve"> with a broader spectrum of activity against a variety of emetic stimuli than the serotonin subtype 3 antagonists. In clinical trials, </w:t>
      </w:r>
      <w:proofErr w:type="spellStart"/>
      <w:r w:rsidRPr="002A0BE6">
        <w:rPr>
          <w:rFonts w:ascii="Arial" w:eastAsia="Times New Roman" w:hAnsi="Arial" w:cs="Arial"/>
          <w:color w:val="000000"/>
          <w:sz w:val="20"/>
          <w:szCs w:val="20"/>
        </w:rPr>
        <w:t>maropitant</w:t>
      </w:r>
      <w:proofErr w:type="spellEnd"/>
      <w:r w:rsidRPr="002A0BE6">
        <w:rPr>
          <w:rFonts w:ascii="Arial" w:eastAsia="Times New Roman" w:hAnsi="Arial" w:cs="Arial"/>
          <w:color w:val="000000"/>
          <w:sz w:val="20"/>
          <w:szCs w:val="20"/>
        </w:rPr>
        <w:t xml:space="preserve"> blocked </w:t>
      </w:r>
      <w:proofErr w:type="spellStart"/>
      <w:r w:rsidRPr="002A0BE6">
        <w:rPr>
          <w:rFonts w:ascii="Arial" w:eastAsia="Times New Roman" w:hAnsi="Arial" w:cs="Arial"/>
          <w:color w:val="000000"/>
          <w:sz w:val="20"/>
          <w:szCs w:val="20"/>
        </w:rPr>
        <w:t>apomorphine</w:t>
      </w:r>
      <w:proofErr w:type="spellEnd"/>
      <w:r w:rsidRPr="002A0BE6">
        <w:rPr>
          <w:rFonts w:ascii="Arial" w:eastAsia="Times New Roman" w:hAnsi="Arial" w:cs="Arial"/>
          <w:color w:val="000000"/>
          <w:sz w:val="20"/>
          <w:szCs w:val="20"/>
        </w:rPr>
        <w:t>-, cisplatin-, and syrup of ipecac-induced vomiting.</w:t>
      </w:r>
    </w:p>
    <w:p w:rsidR="002A0BE6" w:rsidRPr="002A0BE6" w:rsidRDefault="002A0BE6" w:rsidP="002A0BE6">
      <w:pPr>
        <w:pStyle w:val="ListParagraph"/>
        <w:numPr>
          <w:ilvl w:val="0"/>
          <w:numId w:val="2"/>
        </w:numPr>
        <w:shd w:val="clear" w:color="auto" w:fill="FFFFFF"/>
        <w:spacing w:after="288" w:line="336" w:lineRule="atLeast"/>
        <w:rPr>
          <w:rFonts w:ascii="Arial" w:eastAsia="Times New Roman" w:hAnsi="Arial" w:cs="Arial"/>
          <w:color w:val="000000"/>
          <w:sz w:val="20"/>
          <w:szCs w:val="20"/>
        </w:rPr>
      </w:pPr>
      <w:bookmarkStart w:id="99" w:name="v3330124"/>
      <w:bookmarkEnd w:id="99"/>
      <w:r w:rsidRPr="002A0BE6">
        <w:rPr>
          <w:rFonts w:ascii="Arial" w:eastAsia="Times New Roman" w:hAnsi="Arial" w:cs="Arial"/>
          <w:color w:val="000000"/>
          <w:sz w:val="20"/>
          <w:szCs w:val="20"/>
        </w:rPr>
        <w:t xml:space="preserve">For motion sickness, </w:t>
      </w:r>
      <w:proofErr w:type="spellStart"/>
      <w:r w:rsidRPr="002A0BE6">
        <w:rPr>
          <w:rFonts w:ascii="Arial" w:eastAsia="Times New Roman" w:hAnsi="Arial" w:cs="Arial"/>
          <w:color w:val="000000"/>
          <w:sz w:val="20"/>
          <w:szCs w:val="20"/>
        </w:rPr>
        <w:t>maropitant</w:t>
      </w:r>
      <w:proofErr w:type="spellEnd"/>
      <w:r w:rsidRPr="002A0BE6">
        <w:rPr>
          <w:rFonts w:ascii="Arial" w:eastAsia="Times New Roman" w:hAnsi="Arial" w:cs="Arial"/>
          <w:color w:val="000000"/>
          <w:sz w:val="20"/>
          <w:szCs w:val="20"/>
        </w:rPr>
        <w:t xml:space="preserve"> is given at the high dose </w:t>
      </w:r>
      <w:proofErr w:type="spellStart"/>
      <w:r w:rsidRPr="002A0BE6">
        <w:rPr>
          <w:rFonts w:ascii="Arial" w:eastAsia="Times New Roman" w:hAnsi="Arial" w:cs="Arial"/>
          <w:color w:val="000000"/>
          <w:sz w:val="20"/>
          <w:szCs w:val="20"/>
        </w:rPr>
        <w:t>sid</w:t>
      </w:r>
      <w:proofErr w:type="spellEnd"/>
      <w:r w:rsidRPr="002A0BE6">
        <w:rPr>
          <w:rFonts w:ascii="Arial" w:eastAsia="Times New Roman" w:hAnsi="Arial" w:cs="Arial"/>
          <w:color w:val="000000"/>
          <w:sz w:val="20"/>
          <w:szCs w:val="20"/>
        </w:rPr>
        <w:t xml:space="preserve"> for up to 2 days in a row, and should be given on a relatively empty stomach 2 </w:t>
      </w:r>
      <w:proofErr w:type="spellStart"/>
      <w:r w:rsidRPr="002A0BE6">
        <w:rPr>
          <w:rFonts w:ascii="Arial" w:eastAsia="Times New Roman" w:hAnsi="Arial" w:cs="Arial"/>
          <w:color w:val="000000"/>
          <w:sz w:val="20"/>
          <w:szCs w:val="20"/>
        </w:rPr>
        <w:t>hr</w:t>
      </w:r>
      <w:proofErr w:type="spellEnd"/>
      <w:r w:rsidRPr="002A0BE6">
        <w:rPr>
          <w:rFonts w:ascii="Arial" w:eastAsia="Times New Roman" w:hAnsi="Arial" w:cs="Arial"/>
          <w:color w:val="000000"/>
          <w:sz w:val="20"/>
          <w:szCs w:val="20"/>
        </w:rPr>
        <w:t xml:space="preserve"> before travelling, with a small amount of food. For acute vomiting (such as with chemotherapy), it can be given at lower doses either PO or SC.</w:t>
      </w:r>
    </w:p>
    <w:p w:rsidR="002A0BE6" w:rsidRPr="002A0BE6" w:rsidRDefault="002A0BE6" w:rsidP="002A0BE6">
      <w:pPr>
        <w:pStyle w:val="ListParagraph"/>
        <w:numPr>
          <w:ilvl w:val="0"/>
          <w:numId w:val="2"/>
        </w:numPr>
        <w:shd w:val="clear" w:color="auto" w:fill="FFFFFF"/>
        <w:spacing w:after="288" w:line="336" w:lineRule="atLeast"/>
        <w:rPr>
          <w:rFonts w:ascii="Arial" w:eastAsia="Times New Roman" w:hAnsi="Arial" w:cs="Arial"/>
          <w:color w:val="000000"/>
          <w:sz w:val="20"/>
          <w:szCs w:val="20"/>
        </w:rPr>
      </w:pPr>
      <w:bookmarkStart w:id="100" w:name="v3330125"/>
      <w:bookmarkEnd w:id="100"/>
      <w:r w:rsidRPr="002A0BE6">
        <w:rPr>
          <w:rFonts w:ascii="Arial" w:eastAsia="Times New Roman" w:hAnsi="Arial" w:cs="Arial"/>
          <w:color w:val="000000"/>
          <w:sz w:val="20"/>
          <w:szCs w:val="20"/>
        </w:rPr>
        <w:t xml:space="preserve">Adverse effects are rare; the most common are excessive drooling, lethargy, lack of appetite, and diarrhea. A few dogs may vomit after taking the medicine. Giving </w:t>
      </w:r>
      <w:proofErr w:type="spellStart"/>
      <w:r w:rsidRPr="002A0BE6">
        <w:rPr>
          <w:rFonts w:ascii="Arial" w:eastAsia="Times New Roman" w:hAnsi="Arial" w:cs="Arial"/>
          <w:color w:val="000000"/>
          <w:sz w:val="20"/>
          <w:szCs w:val="20"/>
        </w:rPr>
        <w:t>maropitant</w:t>
      </w:r>
      <w:proofErr w:type="spellEnd"/>
      <w:r w:rsidRPr="002A0BE6">
        <w:rPr>
          <w:rFonts w:ascii="Arial" w:eastAsia="Times New Roman" w:hAnsi="Arial" w:cs="Arial"/>
          <w:color w:val="000000"/>
          <w:sz w:val="20"/>
          <w:szCs w:val="20"/>
        </w:rPr>
        <w:t xml:space="preserve"> with a small amount of food helps prevent vomiting.</w:t>
      </w:r>
      <w:bookmarkStart w:id="101" w:name="_GoBack"/>
      <w:bookmarkEnd w:id="101"/>
    </w:p>
    <w:sectPr w:rsidR="002A0BE6" w:rsidRPr="002A0B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igh Tower Text">
    <w:panose1 w:val="0204050205050603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CF1B2B"/>
    <w:multiLevelType w:val="hybridMultilevel"/>
    <w:tmpl w:val="C9E4E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477F97"/>
    <w:multiLevelType w:val="hybridMultilevel"/>
    <w:tmpl w:val="48D21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BE6"/>
    <w:rsid w:val="002A0BE6"/>
    <w:rsid w:val="00E75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A0B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A0BE6"/>
    <w:rPr>
      <w:rFonts w:ascii="Times New Roman" w:eastAsia="Times New Roman" w:hAnsi="Times New Roman" w:cs="Times New Roman"/>
      <w:b/>
      <w:bCs/>
      <w:sz w:val="27"/>
      <w:szCs w:val="27"/>
    </w:rPr>
  </w:style>
  <w:style w:type="paragraph" w:customStyle="1" w:styleId="mmpara">
    <w:name w:val="mmpara"/>
    <w:basedOn w:val="Normal"/>
    <w:rsid w:val="002A0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A0BE6"/>
  </w:style>
  <w:style w:type="character" w:styleId="Hyperlink">
    <w:name w:val="Hyperlink"/>
    <w:basedOn w:val="DefaultParagraphFont"/>
    <w:uiPriority w:val="99"/>
    <w:semiHidden/>
    <w:unhideWhenUsed/>
    <w:rsid w:val="002A0BE6"/>
    <w:rPr>
      <w:color w:val="0000FF"/>
      <w:u w:val="single"/>
    </w:rPr>
  </w:style>
  <w:style w:type="paragraph" w:customStyle="1" w:styleId="imtitletabpdf">
    <w:name w:val="imtitletabpdf"/>
    <w:basedOn w:val="Normal"/>
    <w:rsid w:val="002A0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head1">
    <w:name w:val="tablehead1"/>
    <w:basedOn w:val="Normal"/>
    <w:rsid w:val="002A0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table">
    <w:name w:val="sidetable"/>
    <w:basedOn w:val="Normal"/>
    <w:rsid w:val="002A0BE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A0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BE6"/>
    <w:rPr>
      <w:rFonts w:ascii="Tahoma" w:hAnsi="Tahoma" w:cs="Tahoma"/>
      <w:sz w:val="16"/>
      <w:szCs w:val="16"/>
    </w:rPr>
  </w:style>
  <w:style w:type="paragraph" w:styleId="ListParagraph">
    <w:name w:val="List Paragraph"/>
    <w:basedOn w:val="Normal"/>
    <w:uiPriority w:val="34"/>
    <w:qFormat/>
    <w:rsid w:val="002A0BE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2A0BE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A0BE6"/>
    <w:rPr>
      <w:rFonts w:ascii="Times New Roman" w:eastAsia="Times New Roman" w:hAnsi="Times New Roman" w:cs="Times New Roman"/>
      <w:b/>
      <w:bCs/>
      <w:sz w:val="27"/>
      <w:szCs w:val="27"/>
    </w:rPr>
  </w:style>
  <w:style w:type="paragraph" w:customStyle="1" w:styleId="mmpara">
    <w:name w:val="mmpara"/>
    <w:basedOn w:val="Normal"/>
    <w:rsid w:val="002A0BE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A0BE6"/>
  </w:style>
  <w:style w:type="character" w:styleId="Hyperlink">
    <w:name w:val="Hyperlink"/>
    <w:basedOn w:val="DefaultParagraphFont"/>
    <w:uiPriority w:val="99"/>
    <w:semiHidden/>
    <w:unhideWhenUsed/>
    <w:rsid w:val="002A0BE6"/>
    <w:rPr>
      <w:color w:val="0000FF"/>
      <w:u w:val="single"/>
    </w:rPr>
  </w:style>
  <w:style w:type="paragraph" w:customStyle="1" w:styleId="imtitletabpdf">
    <w:name w:val="imtitletabpdf"/>
    <w:basedOn w:val="Normal"/>
    <w:rsid w:val="002A0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head1">
    <w:name w:val="tablehead1"/>
    <w:basedOn w:val="Normal"/>
    <w:rsid w:val="002A0BE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table">
    <w:name w:val="sidetable"/>
    <w:basedOn w:val="Normal"/>
    <w:rsid w:val="002A0BE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A0B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0BE6"/>
    <w:rPr>
      <w:rFonts w:ascii="Tahoma" w:hAnsi="Tahoma" w:cs="Tahoma"/>
      <w:sz w:val="16"/>
      <w:szCs w:val="16"/>
    </w:rPr>
  </w:style>
  <w:style w:type="paragraph" w:styleId="ListParagraph">
    <w:name w:val="List Paragraph"/>
    <w:basedOn w:val="Normal"/>
    <w:uiPriority w:val="34"/>
    <w:qFormat/>
    <w:rsid w:val="002A0B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1114627">
      <w:bodyDiv w:val="1"/>
      <w:marLeft w:val="0"/>
      <w:marRight w:val="0"/>
      <w:marTop w:val="0"/>
      <w:marBottom w:val="0"/>
      <w:divBdr>
        <w:top w:val="none" w:sz="0" w:space="0" w:color="auto"/>
        <w:left w:val="none" w:sz="0" w:space="0" w:color="auto"/>
        <w:bottom w:val="none" w:sz="0" w:space="0" w:color="auto"/>
        <w:right w:val="none" w:sz="0" w:space="0" w:color="auto"/>
      </w:divBdr>
      <w:divsChild>
        <w:div w:id="1233732861">
          <w:marLeft w:val="0"/>
          <w:marRight w:val="0"/>
          <w:marTop w:val="0"/>
          <w:marBottom w:val="0"/>
          <w:divBdr>
            <w:top w:val="none" w:sz="0" w:space="0" w:color="auto"/>
            <w:left w:val="none" w:sz="0" w:space="0" w:color="auto"/>
            <w:bottom w:val="none" w:sz="0" w:space="0" w:color="auto"/>
            <w:right w:val="none" w:sz="0" w:space="0" w:color="auto"/>
          </w:divBdr>
          <w:divsChild>
            <w:div w:id="1602226079">
              <w:marLeft w:val="0"/>
              <w:marRight w:val="0"/>
              <w:marTop w:val="0"/>
              <w:marBottom w:val="0"/>
              <w:divBdr>
                <w:top w:val="none" w:sz="0" w:space="0" w:color="auto"/>
                <w:left w:val="none" w:sz="0" w:space="0" w:color="auto"/>
                <w:bottom w:val="none" w:sz="0" w:space="0" w:color="auto"/>
                <w:right w:val="none" w:sz="0" w:space="0" w:color="auto"/>
              </w:divBdr>
            </w:div>
            <w:div w:id="12932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171832">
      <w:bodyDiv w:val="1"/>
      <w:marLeft w:val="0"/>
      <w:marRight w:val="0"/>
      <w:marTop w:val="0"/>
      <w:marBottom w:val="0"/>
      <w:divBdr>
        <w:top w:val="none" w:sz="0" w:space="0" w:color="auto"/>
        <w:left w:val="none" w:sz="0" w:space="0" w:color="auto"/>
        <w:bottom w:val="none" w:sz="0" w:space="0" w:color="auto"/>
        <w:right w:val="none" w:sz="0" w:space="0" w:color="auto"/>
      </w:divBdr>
      <w:divsChild>
        <w:div w:id="821387043">
          <w:marLeft w:val="0"/>
          <w:marRight w:val="0"/>
          <w:marTop w:val="0"/>
          <w:marBottom w:val="0"/>
          <w:divBdr>
            <w:top w:val="none" w:sz="0" w:space="0" w:color="auto"/>
            <w:left w:val="none" w:sz="0" w:space="0" w:color="auto"/>
            <w:bottom w:val="none" w:sz="0" w:space="0" w:color="auto"/>
            <w:right w:val="none" w:sz="0" w:space="0" w:color="auto"/>
          </w:divBdr>
          <w:divsChild>
            <w:div w:id="1114323995">
              <w:marLeft w:val="0"/>
              <w:marRight w:val="0"/>
              <w:marTop w:val="0"/>
              <w:marBottom w:val="0"/>
              <w:divBdr>
                <w:top w:val="none" w:sz="0" w:space="0" w:color="auto"/>
                <w:left w:val="none" w:sz="0" w:space="0" w:color="auto"/>
                <w:bottom w:val="none" w:sz="0" w:space="0" w:color="auto"/>
                <w:right w:val="none" w:sz="0" w:space="0" w:color="auto"/>
              </w:divBdr>
            </w:div>
            <w:div w:id="2096659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296649">
      <w:bodyDiv w:val="1"/>
      <w:marLeft w:val="0"/>
      <w:marRight w:val="0"/>
      <w:marTop w:val="0"/>
      <w:marBottom w:val="0"/>
      <w:divBdr>
        <w:top w:val="none" w:sz="0" w:space="0" w:color="auto"/>
        <w:left w:val="none" w:sz="0" w:space="0" w:color="auto"/>
        <w:bottom w:val="none" w:sz="0" w:space="0" w:color="auto"/>
        <w:right w:val="none" w:sz="0" w:space="0" w:color="auto"/>
      </w:divBdr>
      <w:divsChild>
        <w:div w:id="501940855">
          <w:marLeft w:val="0"/>
          <w:marRight w:val="0"/>
          <w:marTop w:val="0"/>
          <w:marBottom w:val="0"/>
          <w:divBdr>
            <w:top w:val="none" w:sz="0" w:space="0" w:color="auto"/>
            <w:left w:val="none" w:sz="0" w:space="0" w:color="auto"/>
            <w:bottom w:val="none" w:sz="0" w:space="0" w:color="auto"/>
            <w:right w:val="none" w:sz="0" w:space="0" w:color="auto"/>
          </w:divBdr>
          <w:divsChild>
            <w:div w:id="2076271715">
              <w:marLeft w:val="0"/>
              <w:marRight w:val="0"/>
              <w:marTop w:val="0"/>
              <w:marBottom w:val="0"/>
              <w:divBdr>
                <w:top w:val="none" w:sz="0" w:space="0" w:color="auto"/>
                <w:left w:val="none" w:sz="0" w:space="0" w:color="auto"/>
                <w:bottom w:val="none" w:sz="0" w:space="0" w:color="auto"/>
                <w:right w:val="none" w:sz="0" w:space="0" w:color="auto"/>
              </w:divBdr>
            </w:div>
            <w:div w:id="188752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merckmanuals.com/vet/nervous_system/motion_sickness/overview_of_motion_sicknes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976</Words>
  <Characters>5567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2014-10-29T10:52:00Z</dcterms:created>
  <dcterms:modified xsi:type="dcterms:W3CDTF">2014-10-29T10:55:00Z</dcterms:modified>
</cp:coreProperties>
</file>