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C9" w:rsidRDefault="00851627">
      <w:pPr>
        <w:rPr>
          <w:b/>
        </w:rPr>
      </w:pPr>
      <w:r w:rsidRPr="00851627">
        <w:rPr>
          <w:b/>
        </w:rPr>
        <w:t xml:space="preserve">EMETICS </w:t>
      </w:r>
    </w:p>
    <w:p w:rsidR="00851627" w:rsidRPr="00851627" w:rsidRDefault="00851627" w:rsidP="00851627">
      <w:pPr>
        <w:shd w:val="clear" w:color="auto" w:fill="FFFFFF"/>
        <w:spacing w:after="288" w:line="336" w:lineRule="atLeast"/>
        <w:rPr>
          <w:rFonts w:ascii="Arial" w:eastAsia="Times New Roman" w:hAnsi="Arial" w:cs="Arial"/>
          <w:color w:val="000000"/>
          <w:sz w:val="20"/>
          <w:szCs w:val="20"/>
          <w:lang w:eastAsia="en-TT"/>
        </w:rPr>
      </w:pPr>
      <w:r w:rsidRPr="00851627">
        <w:rPr>
          <w:rFonts w:ascii="Arial" w:eastAsia="Times New Roman" w:hAnsi="Arial" w:cs="Arial"/>
          <w:color w:val="000000"/>
          <w:sz w:val="20"/>
          <w:szCs w:val="20"/>
          <w:lang w:eastAsia="en-TT"/>
        </w:rPr>
        <w:t>The vomiting reflex is initiated by conditions that stimulate the emetic center of the medulla. (</w:t>
      </w:r>
      <w:proofErr w:type="spellStart"/>
      <w:proofErr w:type="gramStart"/>
      <w:r w:rsidRPr="00851627">
        <w:rPr>
          <w:rFonts w:ascii="Arial" w:eastAsia="Times New Roman" w:hAnsi="Arial" w:cs="Arial"/>
          <w:color w:val="000000"/>
          <w:sz w:val="20"/>
          <w:szCs w:val="20"/>
          <w:lang w:eastAsia="en-TT"/>
        </w:rPr>
        <w:t>see</w:t>
      </w:r>
      <w:proofErr w:type="gramEnd"/>
      <w:r w:rsidRPr="00851627">
        <w:rPr>
          <w:rFonts w:ascii="Arial" w:eastAsia="Times New Roman" w:hAnsi="Arial" w:cs="Arial"/>
          <w:color w:val="000000"/>
          <w:sz w:val="20"/>
          <w:szCs w:val="20"/>
          <w:lang w:eastAsia="en-TT"/>
        </w:rPr>
        <w:fldChar w:fldCharType="begin"/>
      </w:r>
      <w:r w:rsidRPr="00851627">
        <w:rPr>
          <w:rFonts w:ascii="Arial" w:eastAsia="Times New Roman" w:hAnsi="Arial" w:cs="Arial"/>
          <w:color w:val="000000"/>
          <w:sz w:val="20"/>
          <w:szCs w:val="20"/>
          <w:lang w:eastAsia="en-TT"/>
        </w:rPr>
        <w:instrText xml:space="preserve"> HYPERLINK "http://www.merckmanuals.com/vet/digestive_system/vomiting/overview_of_vomiting.html" </w:instrText>
      </w:r>
      <w:r w:rsidRPr="00851627">
        <w:rPr>
          <w:rFonts w:ascii="Arial" w:eastAsia="Times New Roman" w:hAnsi="Arial" w:cs="Arial"/>
          <w:color w:val="000000"/>
          <w:sz w:val="20"/>
          <w:szCs w:val="20"/>
          <w:lang w:eastAsia="en-TT"/>
        </w:rPr>
        <w:fldChar w:fldCharType="separate"/>
      </w:r>
      <w:r w:rsidRPr="00851627">
        <w:rPr>
          <w:rFonts w:ascii="Arial" w:eastAsia="Times New Roman" w:hAnsi="Arial" w:cs="Arial"/>
          <w:color w:val="33664D"/>
          <w:sz w:val="18"/>
          <w:szCs w:val="18"/>
          <w:u w:val="single"/>
          <w:lang w:eastAsia="en-TT"/>
        </w:rPr>
        <w:t>Vomiting</w:t>
      </w:r>
      <w:proofErr w:type="spellEnd"/>
      <w:r w:rsidRPr="00851627">
        <w:rPr>
          <w:rFonts w:ascii="Arial" w:eastAsia="Times New Roman" w:hAnsi="Arial" w:cs="Arial"/>
          <w:color w:val="000000"/>
          <w:sz w:val="20"/>
          <w:szCs w:val="20"/>
          <w:lang w:eastAsia="en-TT"/>
        </w:rPr>
        <w:fldChar w:fldCharType="end"/>
      </w:r>
      <w:r w:rsidRPr="00851627">
        <w:rPr>
          <w:rFonts w:ascii="Arial" w:eastAsia="Times New Roman" w:hAnsi="Arial" w:cs="Arial"/>
          <w:color w:val="000000"/>
          <w:sz w:val="20"/>
          <w:szCs w:val="20"/>
          <w:lang w:eastAsia="en-TT"/>
        </w:rPr>
        <w:t xml:space="preserve">.) Emetics stimulate either peripheral receptors or directly stimulate central vomiting </w:t>
      </w:r>
      <w:proofErr w:type="spellStart"/>
      <w:r w:rsidRPr="00851627">
        <w:rPr>
          <w:rFonts w:ascii="Arial" w:eastAsia="Times New Roman" w:hAnsi="Arial" w:cs="Arial"/>
          <w:color w:val="000000"/>
          <w:sz w:val="20"/>
          <w:szCs w:val="20"/>
          <w:lang w:eastAsia="en-TT"/>
        </w:rPr>
        <w:t>centers</w:t>
      </w:r>
      <w:proofErr w:type="spellEnd"/>
      <w:r w:rsidRPr="00851627">
        <w:rPr>
          <w:rFonts w:ascii="Arial" w:eastAsia="Times New Roman" w:hAnsi="Arial" w:cs="Arial"/>
          <w:color w:val="000000"/>
          <w:sz w:val="20"/>
          <w:szCs w:val="20"/>
          <w:lang w:eastAsia="en-TT"/>
        </w:rPr>
        <w:t xml:space="preserve">. The peripheral-acting emetics directly stimulate the pharynx, which triggers the emetic center via the ninth cranial nerve, or the visceral afferent nerves of the stomach and intestines by causing irritation, inflammation, or distention. Vomiting can be initiated centrally by intracranial stimuli (head trauma, increased intracranial pressure, or psychic stimuli) or by stimulation of the vestibular apparatus (motion sickness, </w:t>
      </w:r>
      <w:proofErr w:type="spellStart"/>
      <w:r w:rsidRPr="00851627">
        <w:rPr>
          <w:rFonts w:ascii="Arial" w:eastAsia="Times New Roman" w:hAnsi="Arial" w:cs="Arial"/>
          <w:color w:val="000000"/>
          <w:sz w:val="20"/>
          <w:szCs w:val="20"/>
          <w:lang w:eastAsia="en-TT"/>
        </w:rPr>
        <w:t>vestibulitis</w:t>
      </w:r>
      <w:proofErr w:type="spellEnd"/>
      <w:r w:rsidRPr="00851627">
        <w:rPr>
          <w:rFonts w:ascii="Arial" w:eastAsia="Times New Roman" w:hAnsi="Arial" w:cs="Arial"/>
          <w:color w:val="000000"/>
          <w:sz w:val="20"/>
          <w:szCs w:val="20"/>
          <w:lang w:eastAsia="en-TT"/>
        </w:rPr>
        <w:t>). Toxins or drugs, such as digoxin and anticancer drugs, directly stimulate the chemoreceptor trigger zone (CTZ) because it is not protected by a complete blood-brain barrier. Acetylcholine is the primary neurotransmitter acting on the emetic center. The CTZ is stimulated by dopamine, α</w:t>
      </w:r>
      <w:r w:rsidRPr="00851627">
        <w:rPr>
          <w:rFonts w:ascii="Arial" w:eastAsia="Times New Roman" w:hAnsi="Arial" w:cs="Arial"/>
          <w:color w:val="000000"/>
          <w:sz w:val="20"/>
          <w:szCs w:val="20"/>
          <w:vertAlign w:val="subscript"/>
          <w:lang w:eastAsia="en-TT"/>
        </w:rPr>
        <w:t>2</w:t>
      </w:r>
      <w:r w:rsidRPr="00851627">
        <w:rPr>
          <w:rFonts w:ascii="Arial" w:eastAsia="Times New Roman" w:hAnsi="Arial" w:cs="Arial"/>
          <w:color w:val="000000"/>
          <w:sz w:val="20"/>
          <w:szCs w:val="20"/>
          <w:lang w:eastAsia="en-TT"/>
        </w:rPr>
        <w:t>-adrenergic drugs, serotonin, and histamine.</w:t>
      </w:r>
    </w:p>
    <w:p w:rsidR="00851627" w:rsidRDefault="00851627" w:rsidP="00851627">
      <w:pPr>
        <w:shd w:val="clear" w:color="auto" w:fill="FFFFFF"/>
        <w:spacing w:after="45" w:line="240" w:lineRule="auto"/>
        <w:outlineLvl w:val="2"/>
        <w:rPr>
          <w:rFonts w:ascii="Arial" w:eastAsia="Times New Roman" w:hAnsi="Arial" w:cs="Arial"/>
          <w:color w:val="000000"/>
          <w:sz w:val="20"/>
          <w:szCs w:val="20"/>
          <w:lang w:eastAsia="en-TT"/>
        </w:rPr>
      </w:pPr>
      <w:bookmarkStart w:id="0" w:name="v3329954"/>
      <w:bookmarkStart w:id="1" w:name="Emetic_Drugs"/>
      <w:bookmarkEnd w:id="0"/>
      <w:bookmarkEnd w:id="1"/>
      <w:r w:rsidRPr="00851627">
        <w:rPr>
          <w:rFonts w:ascii="Arial" w:eastAsia="Times New Roman" w:hAnsi="Arial" w:cs="Arial"/>
          <w:bCs/>
          <w:color w:val="000000"/>
          <w:sz w:val="20"/>
          <w:szCs w:val="20"/>
          <w:lang w:eastAsia="en-TT"/>
        </w:rPr>
        <w:t>Emetic Drugs</w:t>
      </w:r>
      <w:r>
        <w:rPr>
          <w:rFonts w:ascii="Arial" w:eastAsia="Times New Roman" w:hAnsi="Arial" w:cs="Arial"/>
          <w:bCs/>
          <w:color w:val="000000"/>
          <w:sz w:val="20"/>
          <w:szCs w:val="20"/>
          <w:lang w:eastAsia="en-TT"/>
        </w:rPr>
        <w:t xml:space="preserve"> </w:t>
      </w:r>
      <w:bookmarkStart w:id="2" w:name="v3329955"/>
      <w:bookmarkEnd w:id="2"/>
      <w:r w:rsidRPr="00851627">
        <w:rPr>
          <w:rFonts w:ascii="Arial" w:eastAsia="Times New Roman" w:hAnsi="Arial" w:cs="Arial"/>
          <w:color w:val="000000"/>
          <w:sz w:val="20"/>
          <w:szCs w:val="20"/>
          <w:lang w:eastAsia="en-TT"/>
        </w:rPr>
        <w:t xml:space="preserve">e </w:t>
      </w:r>
      <w:proofErr w:type="gramStart"/>
      <w:r w:rsidRPr="00851627">
        <w:rPr>
          <w:rFonts w:ascii="Arial" w:eastAsia="Times New Roman" w:hAnsi="Arial" w:cs="Arial"/>
          <w:color w:val="000000"/>
          <w:sz w:val="20"/>
          <w:szCs w:val="20"/>
          <w:lang w:eastAsia="en-TT"/>
        </w:rPr>
        <w:t>are</w:t>
      </w:r>
      <w:proofErr w:type="gramEnd"/>
      <w:r w:rsidRPr="00851627">
        <w:rPr>
          <w:rFonts w:ascii="Arial" w:eastAsia="Times New Roman" w:hAnsi="Arial" w:cs="Arial"/>
          <w:color w:val="000000"/>
          <w:sz w:val="20"/>
          <w:szCs w:val="20"/>
          <w:lang w:eastAsia="en-TT"/>
        </w:rPr>
        <w:t xml:space="preserve"> usually administered in emergency situat</w:t>
      </w:r>
      <w:r>
        <w:rPr>
          <w:rFonts w:ascii="Arial" w:eastAsia="Times New Roman" w:hAnsi="Arial" w:cs="Arial"/>
          <w:color w:val="000000"/>
          <w:sz w:val="20"/>
          <w:szCs w:val="20"/>
          <w:lang w:eastAsia="en-TT"/>
        </w:rPr>
        <w:t>ions after ingestion of a toxin</w:t>
      </w:r>
      <w:r w:rsidRPr="00851627">
        <w:rPr>
          <w:rFonts w:ascii="Arial" w:eastAsia="Times New Roman" w:hAnsi="Arial" w:cs="Arial"/>
          <w:color w:val="000000"/>
          <w:sz w:val="20"/>
          <w:szCs w:val="20"/>
          <w:lang w:eastAsia="en-TT"/>
        </w:rPr>
        <w:t>. They generally remove &lt;80% of the stomach contents.</w:t>
      </w:r>
    </w:p>
    <w:p w:rsidR="00851627" w:rsidRPr="00851627" w:rsidRDefault="00851627" w:rsidP="00851627">
      <w:pPr>
        <w:shd w:val="clear" w:color="auto" w:fill="FFFFFF"/>
        <w:spacing w:after="45" w:line="240" w:lineRule="auto"/>
        <w:outlineLvl w:val="2"/>
        <w:rPr>
          <w:rFonts w:ascii="Arial" w:eastAsia="Times New Roman" w:hAnsi="Arial" w:cs="Arial"/>
          <w:color w:val="000000"/>
          <w:sz w:val="20"/>
          <w:szCs w:val="20"/>
          <w:lang w:eastAsia="en-TT"/>
        </w:rPr>
      </w:pPr>
    </w:p>
    <w:tbl>
      <w:tblPr>
        <w:tblW w:w="8250" w:type="dxa"/>
        <w:tblCellSpacing w:w="0" w:type="dxa"/>
        <w:shd w:val="clear" w:color="auto" w:fill="FFFFFF"/>
        <w:tblCellMar>
          <w:left w:w="0" w:type="dxa"/>
          <w:right w:w="0" w:type="dxa"/>
        </w:tblCellMar>
        <w:tblLook w:val="04A0" w:firstRow="1" w:lastRow="0" w:firstColumn="1" w:lastColumn="0" w:noHBand="0" w:noVBand="1"/>
      </w:tblPr>
      <w:tblGrid>
        <w:gridCol w:w="60"/>
        <w:gridCol w:w="8130"/>
        <w:gridCol w:w="60"/>
      </w:tblGrid>
      <w:tr w:rsidR="00851627" w:rsidRPr="00851627" w:rsidTr="00851627">
        <w:trPr>
          <w:tblCellSpacing w:w="0" w:type="dxa"/>
        </w:trPr>
        <w:tc>
          <w:tcPr>
            <w:tcW w:w="0" w:type="auto"/>
            <w:gridSpan w:val="3"/>
            <w:shd w:val="clear" w:color="auto" w:fill="FFFFFF"/>
            <w:vAlign w:val="center"/>
            <w:hideMark/>
          </w:tcPr>
          <w:p w:rsidR="00851627" w:rsidRPr="00851627" w:rsidRDefault="00851627" w:rsidP="00851627">
            <w:pPr>
              <w:spacing w:after="0" w:line="240" w:lineRule="auto"/>
              <w:jc w:val="center"/>
              <w:rPr>
                <w:rFonts w:ascii="Arial" w:eastAsia="Times New Roman" w:hAnsi="Arial" w:cs="Arial"/>
                <w:b/>
                <w:bCs/>
                <w:color w:val="000000"/>
                <w:sz w:val="21"/>
                <w:szCs w:val="21"/>
                <w:lang w:eastAsia="en-TT"/>
              </w:rPr>
            </w:pPr>
            <w:bookmarkStart w:id="3" w:name="v4695374"/>
            <w:bookmarkStart w:id="4" w:name="v4695375"/>
            <w:bookmarkStart w:id="5" w:name="v4695376"/>
            <w:bookmarkStart w:id="6" w:name="v4695378"/>
            <w:bookmarkStart w:id="7" w:name="v4695379"/>
            <w:bookmarkStart w:id="8" w:name="v4695380"/>
            <w:bookmarkStart w:id="9" w:name="v4695381"/>
            <w:bookmarkStart w:id="10" w:name="v4695382"/>
            <w:bookmarkStart w:id="11" w:name="v4695383"/>
            <w:bookmarkStart w:id="12" w:name="v4695384"/>
            <w:bookmarkStart w:id="13" w:name="v4695385"/>
            <w:bookmarkStart w:id="14" w:name="v4695386"/>
            <w:bookmarkStart w:id="15" w:name="v4695387"/>
            <w:bookmarkStart w:id="16" w:name="v4695388"/>
            <w:bookmarkStart w:id="17" w:name="v4695389"/>
            <w:bookmarkStart w:id="18" w:name="v4695390"/>
            <w:bookmarkStart w:id="19" w:name="v4695391"/>
            <w:bookmarkStart w:id="20" w:name="v4695392"/>
            <w:bookmarkStart w:id="21" w:name="v4695393"/>
            <w:bookmarkStart w:id="22" w:name="v4695394"/>
            <w:bookmarkStart w:id="23" w:name="v4695395"/>
            <w:bookmarkStart w:id="24" w:name="v4695396"/>
            <w:bookmarkStart w:id="25" w:name="v4695397"/>
            <w:bookmarkStart w:id="26" w:name="v4695398"/>
            <w:bookmarkStart w:id="27" w:name="v4695399"/>
            <w:bookmarkStart w:id="28" w:name="v4695400"/>
            <w:bookmarkStart w:id="29" w:name="v4695401"/>
            <w:bookmarkStart w:id="30" w:name="v4695402"/>
            <w:bookmarkStart w:id="31" w:name="v4695403"/>
            <w:bookmarkStart w:id="32" w:name="v4695404"/>
            <w:bookmarkStart w:id="33" w:name="v469540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851627" w:rsidRPr="00851627" w:rsidTr="00851627">
        <w:trPr>
          <w:tblCellSpacing w:w="0" w:type="dxa"/>
        </w:trPr>
        <w:tc>
          <w:tcPr>
            <w:tcW w:w="0" w:type="auto"/>
            <w:gridSpan w:val="3"/>
            <w:shd w:val="clear" w:color="auto" w:fill="FFFFFF"/>
            <w:vAlign w:val="center"/>
            <w:hideMark/>
          </w:tcPr>
          <w:p w:rsidR="00851627" w:rsidRPr="00851627" w:rsidRDefault="00851627" w:rsidP="00851627">
            <w:pPr>
              <w:spacing w:after="0" w:line="240" w:lineRule="auto"/>
              <w:rPr>
                <w:rFonts w:ascii="Arial" w:eastAsia="Times New Roman" w:hAnsi="Arial" w:cs="Arial"/>
                <w:sz w:val="19"/>
                <w:szCs w:val="19"/>
                <w:lang w:eastAsia="en-TT"/>
              </w:rPr>
            </w:pPr>
          </w:p>
        </w:tc>
      </w:tr>
      <w:tr w:rsidR="00851627" w:rsidRPr="00851627" w:rsidTr="00851627">
        <w:trPr>
          <w:trHeight w:val="60"/>
          <w:tblCellSpacing w:w="0" w:type="dxa"/>
        </w:trPr>
        <w:tc>
          <w:tcPr>
            <w:tcW w:w="60" w:type="dxa"/>
            <w:shd w:val="clear" w:color="auto" w:fill="FFFFFF"/>
            <w:vAlign w:val="center"/>
            <w:hideMark/>
          </w:tcPr>
          <w:p w:rsidR="00851627" w:rsidRPr="00851627" w:rsidRDefault="00851627" w:rsidP="00851627">
            <w:pPr>
              <w:spacing w:after="0" w:line="60" w:lineRule="atLeast"/>
              <w:rPr>
                <w:rFonts w:ascii="Arial" w:eastAsia="Times New Roman" w:hAnsi="Arial" w:cs="Arial"/>
                <w:sz w:val="19"/>
                <w:szCs w:val="19"/>
                <w:lang w:eastAsia="en-TT"/>
              </w:rPr>
            </w:pPr>
            <w:r>
              <w:rPr>
                <w:rFonts w:ascii="Arial" w:eastAsia="Times New Roman" w:hAnsi="Arial" w:cs="Arial"/>
                <w:noProof/>
                <w:sz w:val="19"/>
                <w:szCs w:val="19"/>
                <w:lang w:eastAsia="en-TT"/>
              </w:rPr>
              <w:drawing>
                <wp:inline distT="0" distB="0" distL="0" distR="0" wp14:anchorId="11D38843" wp14:editId="7B1F34F3">
                  <wp:extent cx="9525" cy="9525"/>
                  <wp:effectExtent l="0" t="0" r="0" b="0"/>
                  <wp:docPr id="3" name="Picture 3"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rckmanuals.com/site_images/mm/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0320" w:type="dxa"/>
            <w:tcBorders>
              <w:top w:val="single" w:sz="6" w:space="0" w:color="CCCCCC"/>
            </w:tcBorders>
            <w:shd w:val="clear" w:color="auto" w:fill="FFFFFF"/>
            <w:vAlign w:val="center"/>
            <w:hideMark/>
          </w:tcPr>
          <w:p w:rsidR="00851627" w:rsidRPr="00851627" w:rsidRDefault="00851627" w:rsidP="00851627">
            <w:pPr>
              <w:spacing w:after="0" w:line="60" w:lineRule="atLeast"/>
              <w:rPr>
                <w:rFonts w:ascii="Arial" w:eastAsia="Times New Roman" w:hAnsi="Arial" w:cs="Arial"/>
                <w:sz w:val="19"/>
                <w:szCs w:val="19"/>
                <w:lang w:eastAsia="en-TT"/>
              </w:rPr>
            </w:pPr>
            <w:r>
              <w:rPr>
                <w:rFonts w:ascii="Arial" w:eastAsia="Times New Roman" w:hAnsi="Arial" w:cs="Arial"/>
                <w:noProof/>
                <w:sz w:val="19"/>
                <w:szCs w:val="19"/>
                <w:lang w:eastAsia="en-TT"/>
              </w:rPr>
              <w:drawing>
                <wp:inline distT="0" distB="0" distL="0" distR="0" wp14:anchorId="773F3A79" wp14:editId="4FB318E3">
                  <wp:extent cx="9525" cy="9525"/>
                  <wp:effectExtent l="0" t="0" r="0" b="0"/>
                  <wp:docPr id="2" name="Picture 2"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rckmanuals.com/site_images/mm/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0" w:type="dxa"/>
            <w:shd w:val="clear" w:color="auto" w:fill="FFFFFF"/>
            <w:vAlign w:val="center"/>
            <w:hideMark/>
          </w:tcPr>
          <w:p w:rsidR="00851627" w:rsidRPr="00851627" w:rsidRDefault="00851627" w:rsidP="00851627">
            <w:pPr>
              <w:spacing w:after="0" w:line="60" w:lineRule="atLeast"/>
              <w:rPr>
                <w:rFonts w:ascii="Arial" w:eastAsia="Times New Roman" w:hAnsi="Arial" w:cs="Arial"/>
                <w:sz w:val="19"/>
                <w:szCs w:val="19"/>
                <w:lang w:eastAsia="en-TT"/>
              </w:rPr>
            </w:pPr>
            <w:r>
              <w:rPr>
                <w:rFonts w:ascii="Arial" w:eastAsia="Times New Roman" w:hAnsi="Arial" w:cs="Arial"/>
                <w:noProof/>
                <w:sz w:val="19"/>
                <w:szCs w:val="19"/>
                <w:lang w:eastAsia="en-TT"/>
              </w:rPr>
              <w:drawing>
                <wp:inline distT="0" distB="0" distL="0" distR="0" wp14:anchorId="24CE89B8" wp14:editId="228615BD">
                  <wp:extent cx="9525" cy="9525"/>
                  <wp:effectExtent l="0" t="0" r="0" b="0"/>
                  <wp:docPr id="1" name="Picture 1"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rckmanuals.com/site_images/mm/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51627" w:rsidRPr="00851627" w:rsidTr="00851627">
        <w:trPr>
          <w:tblCellSpacing w:w="0" w:type="dxa"/>
        </w:trPr>
        <w:tc>
          <w:tcPr>
            <w:tcW w:w="0" w:type="auto"/>
            <w:gridSpan w:val="3"/>
            <w:tcBorders>
              <w:left w:val="single" w:sz="6" w:space="0" w:color="CCCCCC"/>
              <w:bottom w:val="single" w:sz="6" w:space="0" w:color="CCCCCC"/>
              <w:right w:val="single" w:sz="6" w:space="0" w:color="CCCCCC"/>
            </w:tcBorders>
            <w:shd w:val="clear" w:color="auto" w:fill="FFFFFF"/>
            <w:vAlign w:val="center"/>
            <w:hideMark/>
          </w:tcPr>
          <w:tbl>
            <w:tblPr>
              <w:tblW w:w="8220" w:type="dxa"/>
              <w:tblCellSpacing w:w="0" w:type="dxa"/>
              <w:tblCellMar>
                <w:left w:w="0" w:type="dxa"/>
                <w:right w:w="0" w:type="dxa"/>
              </w:tblCellMar>
              <w:tblLook w:val="04A0" w:firstRow="1" w:lastRow="0" w:firstColumn="1" w:lastColumn="0" w:noHBand="0" w:noVBand="1"/>
            </w:tblPr>
            <w:tblGrid>
              <w:gridCol w:w="1785"/>
              <w:gridCol w:w="6435"/>
            </w:tblGrid>
            <w:tr w:rsidR="00851627" w:rsidRPr="00851627">
              <w:trPr>
                <w:tblCellSpacing w:w="0" w:type="dxa"/>
              </w:trPr>
              <w:tc>
                <w:tcPr>
                  <w:tcW w:w="0" w:type="auto"/>
                  <w:gridSpan w:val="2"/>
                  <w:tcBorders>
                    <w:bottom w:val="dotted" w:sz="6" w:space="0" w:color="CCCCCC"/>
                  </w:tcBorders>
                  <w:shd w:val="clear" w:color="auto" w:fill="FFFFFF"/>
                  <w:tcMar>
                    <w:top w:w="0" w:type="dxa"/>
                    <w:left w:w="105" w:type="dxa"/>
                    <w:bottom w:w="0" w:type="dxa"/>
                    <w:right w:w="105" w:type="dxa"/>
                  </w:tcMar>
                  <w:vAlign w:val="center"/>
                  <w:hideMark/>
                </w:tcPr>
                <w:p w:rsidR="00851627" w:rsidRPr="00851627" w:rsidRDefault="00851627" w:rsidP="00851627">
                  <w:pPr>
                    <w:spacing w:after="0" w:line="240" w:lineRule="auto"/>
                    <w:rPr>
                      <w:rFonts w:ascii="Arial" w:eastAsia="Times New Roman" w:hAnsi="Arial" w:cs="Arial"/>
                      <w:b/>
                      <w:bCs/>
                      <w:color w:val="33664D"/>
                      <w:sz w:val="26"/>
                      <w:szCs w:val="26"/>
                      <w:lang w:eastAsia="en-TT"/>
                    </w:rPr>
                  </w:pPr>
                  <w:r w:rsidRPr="00851627">
                    <w:rPr>
                      <w:rFonts w:ascii="Arial" w:eastAsia="Times New Roman" w:hAnsi="Arial" w:cs="Arial"/>
                      <w:b/>
                      <w:bCs/>
                      <w:color w:val="33664D"/>
                      <w:sz w:val="26"/>
                      <w:szCs w:val="26"/>
                      <w:lang w:eastAsia="en-TT"/>
                    </w:rPr>
                    <w:t>Emetic Drugs</w:t>
                  </w:r>
                </w:p>
              </w:tc>
            </w:tr>
            <w:tr w:rsidR="00851627" w:rsidRPr="00851627">
              <w:trPr>
                <w:tblCellSpacing w:w="0" w:type="dxa"/>
              </w:trPr>
              <w:tc>
                <w:tcPr>
                  <w:tcW w:w="0" w:type="auto"/>
                  <w:tcBorders>
                    <w:top w:val="single" w:sz="18" w:space="0" w:color="auto"/>
                    <w:bottom w:val="single" w:sz="18" w:space="0" w:color="auto"/>
                    <w:right w:val="single" w:sz="12" w:space="0" w:color="FFFFFF"/>
                  </w:tcBorders>
                  <w:shd w:val="clear" w:color="auto" w:fill="FFFFFF"/>
                  <w:tcMar>
                    <w:top w:w="45" w:type="dxa"/>
                    <w:left w:w="45" w:type="dxa"/>
                    <w:bottom w:w="45" w:type="dxa"/>
                    <w:right w:w="45" w:type="dxa"/>
                  </w:tcMar>
                  <w:hideMark/>
                </w:tcPr>
                <w:p w:rsidR="00851627" w:rsidRPr="00851627" w:rsidRDefault="00851627" w:rsidP="00851627">
                  <w:pPr>
                    <w:spacing w:after="0" w:line="300" w:lineRule="atLeast"/>
                    <w:rPr>
                      <w:rFonts w:ascii="Helvetica" w:eastAsia="Times New Roman" w:hAnsi="Helvetica" w:cs="Helvetica"/>
                      <w:b/>
                      <w:bCs/>
                      <w:color w:val="494949"/>
                      <w:sz w:val="21"/>
                      <w:szCs w:val="21"/>
                      <w:lang w:eastAsia="en-TT"/>
                    </w:rPr>
                  </w:pPr>
                  <w:r w:rsidRPr="00851627">
                    <w:rPr>
                      <w:rFonts w:ascii="Helvetica" w:eastAsia="Times New Roman" w:hAnsi="Helvetica" w:cs="Helvetica"/>
                      <w:b/>
                      <w:bCs/>
                      <w:color w:val="494949"/>
                      <w:sz w:val="21"/>
                      <w:szCs w:val="21"/>
                      <w:lang w:eastAsia="en-TT"/>
                    </w:rPr>
                    <w:t>Drug</w:t>
                  </w:r>
                </w:p>
              </w:tc>
              <w:tc>
                <w:tcPr>
                  <w:tcW w:w="0" w:type="auto"/>
                  <w:tcBorders>
                    <w:top w:val="single" w:sz="18" w:space="0" w:color="auto"/>
                    <w:bottom w:val="single" w:sz="18" w:space="0" w:color="auto"/>
                    <w:right w:val="single" w:sz="12" w:space="0" w:color="FFFFFF"/>
                  </w:tcBorders>
                  <w:shd w:val="clear" w:color="auto" w:fill="FFFFFF"/>
                  <w:tcMar>
                    <w:top w:w="45" w:type="dxa"/>
                    <w:left w:w="45" w:type="dxa"/>
                    <w:bottom w:w="45" w:type="dxa"/>
                    <w:right w:w="45" w:type="dxa"/>
                  </w:tcMar>
                  <w:hideMark/>
                </w:tcPr>
                <w:p w:rsidR="00851627" w:rsidRPr="00851627" w:rsidRDefault="00851627" w:rsidP="00851627">
                  <w:pPr>
                    <w:spacing w:after="0" w:line="300" w:lineRule="atLeast"/>
                    <w:rPr>
                      <w:rFonts w:ascii="Helvetica" w:eastAsia="Times New Roman" w:hAnsi="Helvetica" w:cs="Helvetica"/>
                      <w:b/>
                      <w:bCs/>
                      <w:color w:val="494949"/>
                      <w:sz w:val="21"/>
                      <w:szCs w:val="21"/>
                      <w:lang w:eastAsia="en-TT"/>
                    </w:rPr>
                  </w:pPr>
                  <w:r w:rsidRPr="00851627">
                    <w:rPr>
                      <w:rFonts w:ascii="Helvetica" w:eastAsia="Times New Roman" w:hAnsi="Helvetica" w:cs="Helvetica"/>
                      <w:b/>
                      <w:bCs/>
                      <w:color w:val="494949"/>
                      <w:sz w:val="21"/>
                      <w:szCs w:val="21"/>
                      <w:lang w:eastAsia="en-TT"/>
                    </w:rPr>
                    <w:t>Dosage</w:t>
                  </w:r>
                </w:p>
              </w:tc>
            </w:tr>
            <w:tr w:rsidR="00851627" w:rsidRPr="00851627">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proofErr w:type="spellStart"/>
                  <w:r w:rsidRPr="00851627">
                    <w:rPr>
                      <w:rFonts w:ascii="Arial" w:eastAsia="Times New Roman" w:hAnsi="Arial" w:cs="Arial"/>
                      <w:color w:val="666666"/>
                      <w:sz w:val="20"/>
                      <w:szCs w:val="20"/>
                      <w:lang w:eastAsia="en-TT"/>
                    </w:rPr>
                    <w:t>Apomorphine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r w:rsidRPr="00851627">
                    <w:rPr>
                      <w:rFonts w:ascii="Arial" w:eastAsia="Times New Roman" w:hAnsi="Arial" w:cs="Arial"/>
                      <w:color w:val="666666"/>
                      <w:sz w:val="20"/>
                      <w:szCs w:val="20"/>
                      <w:lang w:eastAsia="en-TT"/>
                    </w:rPr>
                    <w:t xml:space="preserve">Dogs: 4 mg/kg, PO; 0.02 mg/kg, IV; 0.3 mg/kg, SC; 0.25 mg in the </w:t>
                  </w:r>
                  <w:proofErr w:type="spellStart"/>
                  <w:r w:rsidRPr="00851627">
                    <w:rPr>
                      <w:rFonts w:ascii="Arial" w:eastAsia="Times New Roman" w:hAnsi="Arial" w:cs="Arial"/>
                      <w:color w:val="666666"/>
                      <w:sz w:val="20"/>
                      <w:szCs w:val="20"/>
                      <w:lang w:eastAsia="en-TT"/>
                    </w:rPr>
                    <w:t>conjunctival</w:t>
                  </w:r>
                  <w:proofErr w:type="spellEnd"/>
                  <w:r w:rsidRPr="00851627">
                    <w:rPr>
                      <w:rFonts w:ascii="Arial" w:eastAsia="Times New Roman" w:hAnsi="Arial" w:cs="Arial"/>
                      <w:color w:val="666666"/>
                      <w:sz w:val="20"/>
                      <w:szCs w:val="20"/>
                      <w:lang w:eastAsia="en-TT"/>
                    </w:rPr>
                    <w:t xml:space="preserve"> sac</w:t>
                  </w:r>
                </w:p>
              </w:tc>
            </w:tr>
            <w:tr w:rsidR="00851627" w:rsidRPr="00851627">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proofErr w:type="spellStart"/>
                  <w:r w:rsidRPr="00851627">
                    <w:rPr>
                      <w:rFonts w:ascii="Arial" w:eastAsia="Times New Roman" w:hAnsi="Arial" w:cs="Arial"/>
                      <w:color w:val="666666"/>
                      <w:sz w:val="20"/>
                      <w:szCs w:val="20"/>
                      <w:lang w:eastAsia="en-TT"/>
                    </w:rPr>
                    <w:t>Xylazine</w:t>
                  </w:r>
                  <w:proofErr w:type="spellEnd"/>
                </w:p>
              </w:tc>
              <w:tc>
                <w:tcPr>
                  <w:tcW w:w="0" w:type="auto"/>
                  <w:tcBorders>
                    <w:right w:val="single" w:sz="12" w:space="0" w:color="FFFFFF"/>
                  </w:tcBorders>
                  <w:shd w:val="clear" w:color="auto" w:fill="EEEEEE"/>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r w:rsidRPr="00851627">
                    <w:rPr>
                      <w:rFonts w:ascii="Arial" w:eastAsia="Times New Roman" w:hAnsi="Arial" w:cs="Arial"/>
                      <w:color w:val="666666"/>
                      <w:sz w:val="20"/>
                      <w:szCs w:val="20"/>
                      <w:lang w:eastAsia="en-TT"/>
                    </w:rPr>
                    <w:t>Cats: 0.4–0.5 mg/kg, IV or IM</w:t>
                  </w:r>
                </w:p>
              </w:tc>
            </w:tr>
            <w:tr w:rsidR="00851627" w:rsidRPr="00851627">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r w:rsidRPr="00851627">
                    <w:rPr>
                      <w:rFonts w:ascii="Arial" w:eastAsia="Times New Roman" w:hAnsi="Arial" w:cs="Arial"/>
                      <w:color w:val="666666"/>
                      <w:sz w:val="20"/>
                      <w:szCs w:val="20"/>
                      <w:lang w:eastAsia="en-TT"/>
                    </w:rPr>
                    <w:t>Syrup of ipecac</w:t>
                  </w:r>
                </w:p>
              </w:tc>
              <w:tc>
                <w:tcPr>
                  <w:tcW w:w="0" w:type="auto"/>
                  <w:tcBorders>
                    <w:right w:val="single" w:sz="12" w:space="0" w:color="FFFFFF"/>
                  </w:tcBorders>
                  <w:shd w:val="clear" w:color="auto" w:fill="FFFFFF"/>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r w:rsidRPr="00851627">
                    <w:rPr>
                      <w:rFonts w:ascii="Arial" w:eastAsia="Times New Roman" w:hAnsi="Arial" w:cs="Arial"/>
                      <w:color w:val="666666"/>
                      <w:sz w:val="20"/>
                      <w:szCs w:val="20"/>
                      <w:lang w:eastAsia="en-TT"/>
                    </w:rPr>
                    <w:t>3–6 mL/kg, PO</w:t>
                  </w:r>
                </w:p>
              </w:tc>
            </w:tr>
            <w:tr w:rsidR="00851627" w:rsidRPr="00851627">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r w:rsidRPr="00851627">
                    <w:rPr>
                      <w:rFonts w:ascii="Arial" w:eastAsia="Times New Roman" w:hAnsi="Arial" w:cs="Arial"/>
                      <w:color w:val="666666"/>
                      <w:sz w:val="20"/>
                      <w:szCs w:val="20"/>
                      <w:lang w:eastAsia="en-TT"/>
                    </w:rPr>
                    <w:t>Hydrogen peroxide</w:t>
                  </w:r>
                </w:p>
              </w:tc>
              <w:tc>
                <w:tcPr>
                  <w:tcW w:w="0" w:type="auto"/>
                  <w:tcBorders>
                    <w:right w:val="single" w:sz="12" w:space="0" w:color="FFFFFF"/>
                  </w:tcBorders>
                  <w:shd w:val="clear" w:color="auto" w:fill="EEEEEE"/>
                  <w:tcMar>
                    <w:top w:w="45" w:type="dxa"/>
                    <w:left w:w="45" w:type="dxa"/>
                    <w:bottom w:w="45" w:type="dxa"/>
                    <w:right w:w="45" w:type="dxa"/>
                  </w:tcMar>
                  <w:hideMark/>
                </w:tcPr>
                <w:p w:rsidR="00851627" w:rsidRPr="00851627" w:rsidRDefault="00851627" w:rsidP="00851627">
                  <w:pPr>
                    <w:spacing w:before="90" w:after="90" w:line="336" w:lineRule="atLeast"/>
                    <w:ind w:left="90" w:right="90" w:hanging="120"/>
                    <w:rPr>
                      <w:rFonts w:ascii="Arial" w:eastAsia="Times New Roman" w:hAnsi="Arial" w:cs="Arial"/>
                      <w:color w:val="666666"/>
                      <w:sz w:val="20"/>
                      <w:szCs w:val="20"/>
                      <w:lang w:eastAsia="en-TT"/>
                    </w:rPr>
                  </w:pPr>
                  <w:r w:rsidRPr="00851627">
                    <w:rPr>
                      <w:rFonts w:ascii="Arial" w:eastAsia="Times New Roman" w:hAnsi="Arial" w:cs="Arial"/>
                      <w:color w:val="666666"/>
                      <w:sz w:val="20"/>
                      <w:szCs w:val="20"/>
                      <w:lang w:eastAsia="en-TT"/>
                    </w:rPr>
                    <w:t>Dogs: 5–10 mL, PO</w:t>
                  </w:r>
                </w:p>
              </w:tc>
            </w:tr>
          </w:tbl>
          <w:p w:rsidR="00851627" w:rsidRPr="00851627" w:rsidRDefault="00851627" w:rsidP="00851627">
            <w:pPr>
              <w:spacing w:after="0" w:line="240" w:lineRule="auto"/>
              <w:rPr>
                <w:rFonts w:ascii="Arial" w:eastAsia="Times New Roman" w:hAnsi="Arial" w:cs="Arial"/>
                <w:sz w:val="19"/>
                <w:szCs w:val="19"/>
                <w:lang w:eastAsia="en-TT"/>
              </w:rPr>
            </w:pPr>
          </w:p>
        </w:tc>
      </w:tr>
    </w:tbl>
    <w:p w:rsidR="00851627" w:rsidRDefault="00851627" w:rsidP="00851627">
      <w:pPr>
        <w:shd w:val="clear" w:color="auto" w:fill="FFFFFF"/>
        <w:spacing w:after="288" w:line="336" w:lineRule="atLeast"/>
        <w:rPr>
          <w:rFonts w:ascii="Arial" w:eastAsia="Times New Roman" w:hAnsi="Arial" w:cs="Arial"/>
          <w:b/>
          <w:bCs/>
          <w:color w:val="000000"/>
          <w:sz w:val="20"/>
          <w:szCs w:val="20"/>
          <w:lang w:eastAsia="en-TT"/>
        </w:rPr>
      </w:pPr>
      <w:bookmarkStart w:id="34" w:name="v3329957"/>
      <w:bookmarkEnd w:id="34"/>
    </w:p>
    <w:p w:rsidR="00851627" w:rsidRPr="00851627" w:rsidRDefault="00851627" w:rsidP="00851627">
      <w:pPr>
        <w:shd w:val="clear" w:color="auto" w:fill="FFFFFF"/>
        <w:spacing w:after="288" w:line="336" w:lineRule="atLeast"/>
        <w:rPr>
          <w:rFonts w:ascii="Arial" w:eastAsia="Times New Roman" w:hAnsi="Arial" w:cs="Arial"/>
          <w:color w:val="000000"/>
          <w:sz w:val="20"/>
          <w:szCs w:val="20"/>
          <w:lang w:eastAsia="en-TT"/>
        </w:rPr>
      </w:pPr>
      <w:proofErr w:type="spellStart"/>
      <w:r w:rsidRPr="00851627">
        <w:rPr>
          <w:rFonts w:ascii="Arial" w:eastAsia="Times New Roman" w:hAnsi="Arial" w:cs="Arial"/>
          <w:b/>
          <w:bCs/>
          <w:color w:val="000000"/>
          <w:sz w:val="20"/>
          <w:szCs w:val="20"/>
          <w:lang w:eastAsia="en-TT"/>
        </w:rPr>
        <w:t>Apomorphine</w:t>
      </w:r>
      <w:proofErr w:type="spellEnd"/>
      <w:r w:rsidRPr="00851627">
        <w:rPr>
          <w:rFonts w:ascii="Arial" w:eastAsia="Times New Roman" w:hAnsi="Arial" w:cs="Arial"/>
          <w:color w:val="000000"/>
          <w:sz w:val="20"/>
          <w:szCs w:val="20"/>
          <w:lang w:eastAsia="en-TT"/>
        </w:rPr>
        <w:t xml:space="preserve"> is an opiate drug that acts as a potent central dopamine agonist to directly stimulate the CTZ. It can be administered PO, IV, or SC; the IM route is not as effective. It can also be applied directly to </w:t>
      </w:r>
      <w:proofErr w:type="spellStart"/>
      <w:r w:rsidRPr="00851627">
        <w:rPr>
          <w:rFonts w:ascii="Arial" w:eastAsia="Times New Roman" w:hAnsi="Arial" w:cs="Arial"/>
          <w:color w:val="000000"/>
          <w:sz w:val="20"/>
          <w:szCs w:val="20"/>
          <w:lang w:eastAsia="en-TT"/>
        </w:rPr>
        <w:t>conjunctival</w:t>
      </w:r>
      <w:proofErr w:type="spellEnd"/>
      <w:r w:rsidRPr="00851627">
        <w:rPr>
          <w:rFonts w:ascii="Arial" w:eastAsia="Times New Roman" w:hAnsi="Arial" w:cs="Arial"/>
          <w:color w:val="000000"/>
          <w:sz w:val="20"/>
          <w:szCs w:val="20"/>
          <w:lang w:eastAsia="en-TT"/>
        </w:rPr>
        <w:t xml:space="preserve"> and gingival membranes, using the tablet formulation, which can easily be removed once emesis is initiated. Vomiting usually occurs in 5–10 min. Although </w:t>
      </w:r>
      <w:proofErr w:type="spellStart"/>
      <w:r w:rsidRPr="00851627">
        <w:rPr>
          <w:rFonts w:ascii="Arial" w:eastAsia="Times New Roman" w:hAnsi="Arial" w:cs="Arial"/>
          <w:color w:val="000000"/>
          <w:sz w:val="20"/>
          <w:szCs w:val="20"/>
          <w:lang w:eastAsia="en-TT"/>
        </w:rPr>
        <w:t>apomorphine</w:t>
      </w:r>
      <w:proofErr w:type="spellEnd"/>
      <w:r w:rsidRPr="00851627">
        <w:rPr>
          <w:rFonts w:ascii="Arial" w:eastAsia="Times New Roman" w:hAnsi="Arial" w:cs="Arial"/>
          <w:color w:val="000000"/>
          <w:sz w:val="20"/>
          <w:szCs w:val="20"/>
          <w:lang w:eastAsia="en-TT"/>
        </w:rPr>
        <w:t xml:space="preserve"> directly stimulates the CTZ, it has a depressant effect on the emetic center. Therefore, if the first dose does not induce emesis, additional doses are not helpful. Because the vestibular apparatus may also be involved in </w:t>
      </w:r>
      <w:proofErr w:type="spellStart"/>
      <w:r w:rsidRPr="00851627">
        <w:rPr>
          <w:rFonts w:ascii="Arial" w:eastAsia="Times New Roman" w:hAnsi="Arial" w:cs="Arial"/>
          <w:color w:val="000000"/>
          <w:sz w:val="20"/>
          <w:szCs w:val="20"/>
          <w:lang w:eastAsia="en-TT"/>
        </w:rPr>
        <w:t>apomorphine</w:t>
      </w:r>
      <w:proofErr w:type="spellEnd"/>
      <w:r w:rsidRPr="00851627">
        <w:rPr>
          <w:rFonts w:ascii="Arial" w:eastAsia="Times New Roman" w:hAnsi="Arial" w:cs="Arial"/>
          <w:color w:val="000000"/>
          <w:sz w:val="20"/>
          <w:szCs w:val="20"/>
          <w:lang w:eastAsia="en-TT"/>
        </w:rPr>
        <w:t xml:space="preserve">-induced vomiting, animals that are sedate and motionless will not vomit as readily as animals that are active. Because it can cause CNS stimulation, </w:t>
      </w:r>
      <w:proofErr w:type="spellStart"/>
      <w:r w:rsidRPr="00851627">
        <w:rPr>
          <w:rFonts w:ascii="Arial" w:eastAsia="Times New Roman" w:hAnsi="Arial" w:cs="Arial"/>
          <w:color w:val="000000"/>
          <w:sz w:val="20"/>
          <w:szCs w:val="20"/>
          <w:lang w:eastAsia="en-TT"/>
        </w:rPr>
        <w:t>apomorphine</w:t>
      </w:r>
      <w:proofErr w:type="spellEnd"/>
      <w:r w:rsidRPr="00851627">
        <w:rPr>
          <w:rFonts w:ascii="Arial" w:eastAsia="Times New Roman" w:hAnsi="Arial" w:cs="Arial"/>
          <w:color w:val="000000"/>
          <w:sz w:val="20"/>
          <w:szCs w:val="20"/>
          <w:lang w:eastAsia="en-TT"/>
        </w:rPr>
        <w:t xml:space="preserve"> is used cautiously in cats. Opiate-induced excitement in cats can be treated with naloxone (an opiate antagonist).</w:t>
      </w:r>
    </w:p>
    <w:p w:rsidR="00851627" w:rsidRPr="00851627" w:rsidRDefault="00851627" w:rsidP="00851627">
      <w:pPr>
        <w:shd w:val="clear" w:color="auto" w:fill="FFFFFF"/>
        <w:spacing w:after="288" w:line="336" w:lineRule="atLeast"/>
        <w:rPr>
          <w:rFonts w:ascii="Arial" w:eastAsia="Times New Roman" w:hAnsi="Arial" w:cs="Arial"/>
          <w:color w:val="000000"/>
          <w:sz w:val="20"/>
          <w:szCs w:val="20"/>
          <w:lang w:eastAsia="en-TT"/>
        </w:rPr>
      </w:pPr>
      <w:bookmarkStart w:id="35" w:name="v3329959"/>
      <w:bookmarkEnd w:id="35"/>
      <w:proofErr w:type="spellStart"/>
      <w:r w:rsidRPr="00851627">
        <w:rPr>
          <w:rFonts w:ascii="Arial" w:eastAsia="Times New Roman" w:hAnsi="Arial" w:cs="Arial"/>
          <w:b/>
          <w:bCs/>
          <w:color w:val="000000"/>
          <w:sz w:val="20"/>
          <w:szCs w:val="20"/>
          <w:lang w:eastAsia="en-TT"/>
        </w:rPr>
        <w:lastRenderedPageBreak/>
        <w:t>Xylazine</w:t>
      </w:r>
      <w:proofErr w:type="spellEnd"/>
      <w:r w:rsidRPr="00851627">
        <w:rPr>
          <w:rFonts w:ascii="Arial" w:eastAsia="Times New Roman" w:hAnsi="Arial" w:cs="Arial"/>
          <w:color w:val="000000"/>
          <w:sz w:val="20"/>
          <w:szCs w:val="20"/>
          <w:lang w:eastAsia="en-TT"/>
        </w:rPr>
        <w:t xml:space="preserve"> is </w:t>
      </w:r>
      <w:proofErr w:type="gramStart"/>
      <w:r w:rsidRPr="00851627">
        <w:rPr>
          <w:rFonts w:ascii="Arial" w:eastAsia="Times New Roman" w:hAnsi="Arial" w:cs="Arial"/>
          <w:color w:val="000000"/>
          <w:sz w:val="20"/>
          <w:szCs w:val="20"/>
          <w:lang w:eastAsia="en-TT"/>
        </w:rPr>
        <w:t>an</w:t>
      </w:r>
      <w:proofErr w:type="gramEnd"/>
      <w:r w:rsidRPr="00851627">
        <w:rPr>
          <w:rFonts w:ascii="Arial" w:eastAsia="Times New Roman" w:hAnsi="Arial" w:cs="Arial"/>
          <w:color w:val="000000"/>
          <w:sz w:val="20"/>
          <w:szCs w:val="20"/>
          <w:lang w:eastAsia="en-TT"/>
        </w:rPr>
        <w:t xml:space="preserve"> α</w:t>
      </w:r>
      <w:r w:rsidRPr="00851627">
        <w:rPr>
          <w:rFonts w:ascii="Arial" w:eastAsia="Times New Roman" w:hAnsi="Arial" w:cs="Arial"/>
          <w:color w:val="000000"/>
          <w:sz w:val="20"/>
          <w:szCs w:val="20"/>
          <w:vertAlign w:val="subscript"/>
          <w:lang w:eastAsia="en-TT"/>
        </w:rPr>
        <w:t>2</w:t>
      </w:r>
      <w:r w:rsidRPr="00851627">
        <w:rPr>
          <w:rFonts w:ascii="Arial" w:eastAsia="Times New Roman" w:hAnsi="Arial" w:cs="Arial"/>
          <w:color w:val="000000"/>
          <w:sz w:val="20"/>
          <w:szCs w:val="20"/>
          <w:lang w:eastAsia="en-TT"/>
        </w:rPr>
        <w:t xml:space="preserve">-adrenergic agonist used primarily for its sedative and analgesic action. It is a reliable emetic, particularly in cats, in which it stimulates the CTZ. Because </w:t>
      </w:r>
      <w:proofErr w:type="spellStart"/>
      <w:r w:rsidRPr="00851627">
        <w:rPr>
          <w:rFonts w:ascii="Arial" w:eastAsia="Times New Roman" w:hAnsi="Arial" w:cs="Arial"/>
          <w:color w:val="000000"/>
          <w:sz w:val="20"/>
          <w:szCs w:val="20"/>
          <w:lang w:eastAsia="en-TT"/>
        </w:rPr>
        <w:t>xylazine</w:t>
      </w:r>
      <w:proofErr w:type="spellEnd"/>
      <w:r w:rsidRPr="00851627">
        <w:rPr>
          <w:rFonts w:ascii="Arial" w:eastAsia="Times New Roman" w:hAnsi="Arial" w:cs="Arial"/>
          <w:color w:val="000000"/>
          <w:sz w:val="20"/>
          <w:szCs w:val="20"/>
          <w:lang w:eastAsia="en-TT"/>
        </w:rPr>
        <w:t xml:space="preserve"> can produce profound sedation and hypotension, animals should be closely monitored after administration. The IV route is preferred over IM administration.</w:t>
      </w:r>
    </w:p>
    <w:p w:rsidR="00851627" w:rsidRPr="00851627" w:rsidRDefault="00851627" w:rsidP="00851627">
      <w:pPr>
        <w:shd w:val="clear" w:color="auto" w:fill="FFFFFF"/>
        <w:spacing w:after="288" w:line="336" w:lineRule="atLeast"/>
        <w:rPr>
          <w:rFonts w:ascii="Arial" w:eastAsia="Times New Roman" w:hAnsi="Arial" w:cs="Arial"/>
          <w:color w:val="000000"/>
          <w:sz w:val="20"/>
          <w:szCs w:val="20"/>
          <w:lang w:eastAsia="en-TT"/>
        </w:rPr>
      </w:pPr>
      <w:bookmarkStart w:id="36" w:name="v3329961"/>
      <w:bookmarkEnd w:id="36"/>
      <w:r w:rsidRPr="00851627">
        <w:rPr>
          <w:rFonts w:ascii="Arial" w:eastAsia="Times New Roman" w:hAnsi="Arial" w:cs="Arial"/>
          <w:b/>
          <w:bCs/>
          <w:color w:val="000000"/>
          <w:sz w:val="20"/>
          <w:szCs w:val="20"/>
          <w:lang w:eastAsia="en-TT"/>
        </w:rPr>
        <w:t>Syrup of ipecac</w:t>
      </w:r>
      <w:r w:rsidRPr="00851627">
        <w:rPr>
          <w:rFonts w:ascii="Arial" w:eastAsia="Times New Roman" w:hAnsi="Arial" w:cs="Arial"/>
          <w:color w:val="000000"/>
          <w:sz w:val="20"/>
          <w:szCs w:val="20"/>
          <w:lang w:eastAsia="en-TT"/>
        </w:rPr>
        <w:t xml:space="preserve"> is an over-the-counter preparation that contains emetine, a toxic alkaloid that produces vomiting by acting as a stomach irritant. It usually, but not consistently, produces vomiting in 15–30 min. If repeated use fails to induce emesis, then gastric lavage is necessary to remove the emetine to prevent additional </w:t>
      </w:r>
      <w:proofErr w:type="spellStart"/>
      <w:r w:rsidRPr="00851627">
        <w:rPr>
          <w:rFonts w:ascii="Arial" w:eastAsia="Times New Roman" w:hAnsi="Arial" w:cs="Arial"/>
          <w:color w:val="000000"/>
          <w:sz w:val="20"/>
          <w:szCs w:val="20"/>
          <w:lang w:eastAsia="en-TT"/>
        </w:rPr>
        <w:t>toxicosis</w:t>
      </w:r>
      <w:proofErr w:type="spellEnd"/>
      <w:r w:rsidRPr="00851627">
        <w:rPr>
          <w:rFonts w:ascii="Arial" w:eastAsia="Times New Roman" w:hAnsi="Arial" w:cs="Arial"/>
          <w:color w:val="000000"/>
          <w:sz w:val="20"/>
          <w:szCs w:val="20"/>
          <w:lang w:eastAsia="en-TT"/>
        </w:rPr>
        <w:t>.</w:t>
      </w:r>
    </w:p>
    <w:p w:rsidR="00851627" w:rsidRPr="00851627" w:rsidRDefault="00851627" w:rsidP="00851627">
      <w:pPr>
        <w:shd w:val="clear" w:color="auto" w:fill="FFFFFF"/>
        <w:spacing w:after="288" w:line="360" w:lineRule="auto"/>
        <w:rPr>
          <w:rFonts w:ascii="Arial" w:eastAsia="Times New Roman" w:hAnsi="Arial" w:cs="Arial"/>
          <w:color w:val="000000"/>
          <w:sz w:val="20"/>
          <w:szCs w:val="20"/>
          <w:lang w:eastAsia="en-TT"/>
        </w:rPr>
      </w:pPr>
      <w:bookmarkStart w:id="37" w:name="v3329963"/>
      <w:bookmarkEnd w:id="37"/>
      <w:r w:rsidRPr="00851627">
        <w:rPr>
          <w:rFonts w:ascii="Arial" w:eastAsia="Times New Roman" w:hAnsi="Arial" w:cs="Arial"/>
          <w:b/>
          <w:bCs/>
          <w:color w:val="000000"/>
          <w:sz w:val="20"/>
          <w:szCs w:val="20"/>
          <w:lang w:eastAsia="en-TT"/>
        </w:rPr>
        <w:t>Hydrogen peroxide</w:t>
      </w:r>
      <w:r w:rsidRPr="00851627">
        <w:rPr>
          <w:rFonts w:ascii="Arial" w:eastAsia="Times New Roman" w:hAnsi="Arial" w:cs="Arial"/>
          <w:color w:val="000000"/>
          <w:sz w:val="20"/>
          <w:szCs w:val="20"/>
          <w:lang w:eastAsia="en-TT"/>
        </w:rPr>
        <w:t> (3%) applied to the back of the pharynx stimulates vomiting via the ninth cranial nerve. Small doses (5–10 mL) of hydrogen peroxide can be administered via oral syringe until emesis occurs. It should be administered cautiously, especially in cats, because aspiration of hydrogen peroxide foam causes severe aspiration pneumonia.</w:t>
      </w:r>
    </w:p>
    <w:p w:rsidR="00851627" w:rsidRPr="00851627" w:rsidRDefault="00851627" w:rsidP="00851627">
      <w:pPr>
        <w:spacing w:line="360" w:lineRule="auto"/>
        <w:rPr>
          <w:rFonts w:ascii="Arial" w:hAnsi="Arial" w:cs="Arial"/>
          <w:sz w:val="20"/>
          <w:szCs w:val="20"/>
        </w:rPr>
      </w:pPr>
      <w:r w:rsidRPr="00851627">
        <w:rPr>
          <w:rFonts w:ascii="Arial" w:hAnsi="Arial" w:cs="Arial"/>
          <w:sz w:val="20"/>
          <w:szCs w:val="20"/>
        </w:rPr>
        <w:t xml:space="preserve">Emesis induction is contraindicated in cases where toxin was ingested more than one hour ago, comatose or </w:t>
      </w:r>
      <w:proofErr w:type="spellStart"/>
      <w:r w:rsidRPr="00851627">
        <w:rPr>
          <w:rFonts w:ascii="Arial" w:hAnsi="Arial" w:cs="Arial"/>
          <w:sz w:val="20"/>
          <w:szCs w:val="20"/>
        </w:rPr>
        <w:t>seizuring</w:t>
      </w:r>
      <w:proofErr w:type="spellEnd"/>
      <w:r w:rsidRPr="00851627">
        <w:rPr>
          <w:rFonts w:ascii="Arial" w:hAnsi="Arial" w:cs="Arial"/>
          <w:sz w:val="20"/>
          <w:szCs w:val="20"/>
        </w:rPr>
        <w:t xml:space="preserve"> patients, patients in shock or having dyspnoea, brachycephalic breeds &amp; species that do not vomit (</w:t>
      </w:r>
      <w:proofErr w:type="spellStart"/>
      <w:r w:rsidRPr="00851627">
        <w:rPr>
          <w:rFonts w:ascii="Arial" w:hAnsi="Arial" w:cs="Arial"/>
          <w:sz w:val="20"/>
          <w:szCs w:val="20"/>
        </w:rPr>
        <w:t>eg</w:t>
      </w:r>
      <w:proofErr w:type="spellEnd"/>
      <w:r w:rsidRPr="00851627">
        <w:rPr>
          <w:rFonts w:ascii="Arial" w:hAnsi="Arial" w:cs="Arial"/>
          <w:sz w:val="20"/>
          <w:szCs w:val="20"/>
        </w:rPr>
        <w:t xml:space="preserve">. </w:t>
      </w:r>
      <w:proofErr w:type="gramStart"/>
      <w:r w:rsidRPr="00851627">
        <w:rPr>
          <w:rFonts w:ascii="Arial" w:hAnsi="Arial" w:cs="Arial"/>
          <w:sz w:val="20"/>
          <w:szCs w:val="20"/>
        </w:rPr>
        <w:t>Horses and rabbits), as well as patients with decreased gag reflex or patients with any other medical condition that may predispose them to aspiration.</w:t>
      </w:r>
      <w:proofErr w:type="gramEnd"/>
      <w:r w:rsidRPr="00851627">
        <w:rPr>
          <w:rFonts w:ascii="Arial" w:hAnsi="Arial" w:cs="Arial"/>
          <w:sz w:val="20"/>
          <w:szCs w:val="20"/>
        </w:rPr>
        <w:t xml:space="preserve"> Emetics should not be used if the toxin ingested is corrosive/ caustic, salt or hydrocarbon.</w:t>
      </w:r>
      <w:bookmarkStart w:id="38" w:name="_GoBack"/>
      <w:bookmarkEnd w:id="38"/>
    </w:p>
    <w:sectPr w:rsidR="00851627" w:rsidRPr="008516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27"/>
    <w:rsid w:val="005306C0"/>
    <w:rsid w:val="00851627"/>
    <w:rsid w:val="00BE07C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51627"/>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1627"/>
    <w:rPr>
      <w:rFonts w:ascii="Times New Roman" w:eastAsia="Times New Roman" w:hAnsi="Times New Roman" w:cs="Times New Roman"/>
      <w:b/>
      <w:bCs/>
      <w:sz w:val="27"/>
      <w:szCs w:val="27"/>
      <w:lang w:eastAsia="en-TT"/>
    </w:rPr>
  </w:style>
  <w:style w:type="paragraph" w:customStyle="1" w:styleId="mmpara">
    <w:name w:val="mmpara"/>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851627"/>
    <w:rPr>
      <w:color w:val="0000FF"/>
      <w:u w:val="single"/>
    </w:rPr>
  </w:style>
  <w:style w:type="character" w:customStyle="1" w:styleId="apple-converted-space">
    <w:name w:val="apple-converted-space"/>
    <w:basedOn w:val="DefaultParagraphFont"/>
    <w:rsid w:val="00851627"/>
  </w:style>
  <w:style w:type="paragraph" w:customStyle="1" w:styleId="imtitletabpdf">
    <w:name w:val="imtitletabpdf"/>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tablehead1">
    <w:name w:val="tablehead1"/>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sidetable">
    <w:name w:val="sidetable"/>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BalloonText">
    <w:name w:val="Balloon Text"/>
    <w:basedOn w:val="Normal"/>
    <w:link w:val="BalloonTextChar"/>
    <w:uiPriority w:val="99"/>
    <w:semiHidden/>
    <w:unhideWhenUsed/>
    <w:rsid w:val="0085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51627"/>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1627"/>
    <w:rPr>
      <w:rFonts w:ascii="Times New Roman" w:eastAsia="Times New Roman" w:hAnsi="Times New Roman" w:cs="Times New Roman"/>
      <w:b/>
      <w:bCs/>
      <w:sz w:val="27"/>
      <w:szCs w:val="27"/>
      <w:lang w:eastAsia="en-TT"/>
    </w:rPr>
  </w:style>
  <w:style w:type="paragraph" w:customStyle="1" w:styleId="mmpara">
    <w:name w:val="mmpara"/>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851627"/>
    <w:rPr>
      <w:color w:val="0000FF"/>
      <w:u w:val="single"/>
    </w:rPr>
  </w:style>
  <w:style w:type="character" w:customStyle="1" w:styleId="apple-converted-space">
    <w:name w:val="apple-converted-space"/>
    <w:basedOn w:val="DefaultParagraphFont"/>
    <w:rsid w:val="00851627"/>
  </w:style>
  <w:style w:type="paragraph" w:customStyle="1" w:styleId="imtitletabpdf">
    <w:name w:val="imtitletabpdf"/>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tablehead1">
    <w:name w:val="tablehead1"/>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sidetable">
    <w:name w:val="sidetable"/>
    <w:basedOn w:val="Normal"/>
    <w:rsid w:val="00851627"/>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BalloonText">
    <w:name w:val="Balloon Text"/>
    <w:basedOn w:val="Normal"/>
    <w:link w:val="BalloonTextChar"/>
    <w:uiPriority w:val="99"/>
    <w:semiHidden/>
    <w:unhideWhenUsed/>
    <w:rsid w:val="0085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1</cp:revision>
  <dcterms:created xsi:type="dcterms:W3CDTF">2014-10-21T02:34:00Z</dcterms:created>
  <dcterms:modified xsi:type="dcterms:W3CDTF">2014-10-21T02:45:00Z</dcterms:modified>
</cp:coreProperties>
</file>