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B3" w:rsidRPr="005007B3" w:rsidRDefault="005007B3" w:rsidP="005007B3">
      <w:pPr>
        <w:rPr>
          <w:rFonts w:ascii="Times New Roman" w:hAnsi="Times New Roman" w:cs="Times New Roman"/>
          <w:b/>
          <w:sz w:val="28"/>
          <w:u w:val="single"/>
        </w:rPr>
      </w:pPr>
      <w:r w:rsidRPr="005007B3">
        <w:rPr>
          <w:rFonts w:ascii="Times New Roman" w:hAnsi="Times New Roman" w:cs="Times New Roman"/>
          <w:b/>
          <w:sz w:val="28"/>
          <w:u w:val="single"/>
        </w:rPr>
        <w:t xml:space="preserve">Peterson’s eye block - </w:t>
      </w:r>
      <w:r w:rsidRPr="005007B3">
        <w:rPr>
          <w:rFonts w:ascii="Times New Roman" w:hAnsi="Times New Roman" w:cs="Times New Roman"/>
          <w:b/>
          <w:sz w:val="28"/>
          <w:u w:val="single"/>
        </w:rPr>
        <w:t xml:space="preserve">Cattle.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• Requires more skill and specific anatomic knowledge than retrobulbar nerve block, but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involves less risk in damaging surrounding anatomic structure around the eye globe, and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less volume requirement reducing potential for systemic toxicity and expense.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• The point of injection is the notch formed by the supraorbital process cranially, the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zygomatic arch ventrally, and the coronoid process of the mandible caudally.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• An one inch, 14 gauge needle is inserted through a desensitized skin as far anterior and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ventral as possible in the notch.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• Insert a 4-5 inch, 18 gauge straight or slightly curved needle at the point of injection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mentioned above in a horizontal and slightly posterior direction until it hits the coronoid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process of the mandible.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• Gently manipulate the needle anteriorly until its point passes medially around the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coronoid process, then advanced to the pterygopalatine fossa rostral to the solid bony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plate that is in close proximity of the orbitorotundum foramen. Following aspiration, 7 –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15 ml of local anesthetics are injected. </w:t>
      </w: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 xml:space="preserve">• Oculomotor, trochlear, abducens, and three branches of the trigeminal nerve (ophthalmic, </w:t>
      </w:r>
    </w:p>
    <w:p w:rsidR="00620BFC" w:rsidRDefault="005007B3" w:rsidP="005007B3">
      <w:pPr>
        <w:rPr>
          <w:rFonts w:ascii="Times New Roman" w:hAnsi="Times New Roman" w:cs="Times New Roman"/>
          <w:sz w:val="24"/>
        </w:rPr>
      </w:pPr>
      <w:r w:rsidRPr="005007B3">
        <w:rPr>
          <w:rFonts w:ascii="Times New Roman" w:hAnsi="Times New Roman" w:cs="Times New Roman"/>
          <w:sz w:val="24"/>
        </w:rPr>
        <w:t>maxillary, and mandible) are desensitized in 10 – 15 minutes following injection.</w:t>
      </w:r>
    </w:p>
    <w:p w:rsidR="005007B3" w:rsidRDefault="005007B3" w:rsidP="005007B3">
      <w:pPr>
        <w:rPr>
          <w:rFonts w:ascii="Times New Roman" w:hAnsi="Times New Roman" w:cs="Times New Roman"/>
          <w:sz w:val="24"/>
        </w:rPr>
      </w:pPr>
    </w:p>
    <w:p w:rsidR="005007B3" w:rsidRPr="005007B3" w:rsidRDefault="005007B3" w:rsidP="005007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B4154F">
          <w:rPr>
            <w:rStyle w:val="Hyperlink"/>
            <w:rFonts w:ascii="Times New Roman" w:hAnsi="Times New Roman" w:cs="Times New Roman"/>
            <w:sz w:val="24"/>
          </w:rPr>
          <w:t>https://instruction.cvhs.okstate.edu/vmed5412/pdf/14LocalAnesthesia2006b.pdf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5007B3" w:rsidRPr="00500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B3"/>
    <w:rsid w:val="005007B3"/>
    <w:rsid w:val="006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ruction.cvhs.okstate.edu/vmed5412/pdf/14LocalAnesthesia2006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2014-10-31T01:35:00Z</dcterms:created>
  <dcterms:modified xsi:type="dcterms:W3CDTF">2014-10-31T01:36:00Z</dcterms:modified>
</cp:coreProperties>
</file>