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5A" w:rsidRPr="00BF3D5A" w:rsidRDefault="00BF3D5A" w:rsidP="00BF3D5A">
      <w:pPr>
        <w:shd w:val="clear" w:color="auto" w:fill="FFFFFF"/>
        <w:spacing w:after="45" w:line="240" w:lineRule="auto"/>
        <w:outlineLvl w:val="2"/>
        <w:rPr>
          <w:rFonts w:ascii="Arial" w:eastAsia="Times New Roman" w:hAnsi="Arial" w:cs="Arial"/>
          <w:b/>
          <w:bCs/>
          <w:color w:val="000000"/>
          <w:sz w:val="24"/>
          <w:szCs w:val="24"/>
        </w:rPr>
      </w:pPr>
      <w:r w:rsidRPr="00BF3D5A">
        <w:rPr>
          <w:rFonts w:ascii="Arial" w:eastAsia="Times New Roman" w:hAnsi="Arial" w:cs="Arial"/>
          <w:b/>
          <w:bCs/>
          <w:color w:val="000000"/>
          <w:sz w:val="24"/>
          <w:szCs w:val="24"/>
        </w:rPr>
        <w:t>Colloids</w:t>
      </w:r>
    </w:p>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0" w:name="v4691486"/>
      <w:bookmarkEnd w:id="0"/>
      <w:r w:rsidRPr="00BF3D5A">
        <w:rPr>
          <w:rFonts w:ascii="Arial" w:eastAsia="Times New Roman" w:hAnsi="Arial" w:cs="Arial"/>
          <w:color w:val="000000"/>
          <w:sz w:val="20"/>
          <w:szCs w:val="20"/>
        </w:rPr>
        <w:t>When colloids are to be administered, it must be decided whether a natural colloid (</w:t>
      </w:r>
      <w:proofErr w:type="spellStart"/>
      <w:r w:rsidRPr="00BF3D5A">
        <w:rPr>
          <w:rFonts w:ascii="Arial" w:eastAsia="Times New Roman" w:hAnsi="Arial" w:cs="Arial"/>
          <w:color w:val="000000"/>
          <w:sz w:val="20"/>
          <w:szCs w:val="20"/>
        </w:rPr>
        <w:t>eg</w:t>
      </w:r>
      <w:proofErr w:type="spellEnd"/>
      <w:r w:rsidRPr="00BF3D5A">
        <w:rPr>
          <w:rFonts w:ascii="Arial" w:eastAsia="Times New Roman" w:hAnsi="Arial" w:cs="Arial"/>
          <w:color w:val="000000"/>
          <w:sz w:val="20"/>
          <w:szCs w:val="20"/>
        </w:rPr>
        <w:t>, plasma, albumin, or whole blood) or a synthetic colloid (see </w:t>
      </w:r>
      <w:hyperlink r:id="rId5" w:anchor="v4691501" w:history="1">
        <w:r w:rsidRPr="00BF3D5A">
          <w:rPr>
            <w:rFonts w:ascii="Arial" w:eastAsia="Times New Roman" w:hAnsi="Arial" w:cs="Arial"/>
            <w:color w:val="33664D"/>
            <w:sz w:val="18"/>
            <w:szCs w:val="18"/>
            <w:u w:val="single"/>
          </w:rPr>
          <w:t>Synthetic Colloids</w:t>
        </w:r>
      </w:hyperlink>
      <w:r w:rsidRPr="00BF3D5A">
        <w:rPr>
          <w:rFonts w:ascii="Arial" w:eastAsia="Times New Roman" w:hAnsi="Arial" w:cs="Arial"/>
          <w:noProof/>
          <w:color w:val="000000"/>
          <w:sz w:val="20"/>
          <w:szCs w:val="20"/>
        </w:rPr>
        <w:drawing>
          <wp:inline distT="0" distB="0" distL="0" distR="0" wp14:anchorId="375115A9" wp14:editId="3CB8CCE3">
            <wp:extent cx="133350" cy="123825"/>
            <wp:effectExtent l="0" t="0" r="0" b="9525"/>
            <wp:docPr id="1" name="Picture 1" descr="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BF3D5A">
        <w:rPr>
          <w:rFonts w:ascii="Arial" w:eastAsia="Times New Roman" w:hAnsi="Arial" w:cs="Arial"/>
          <w:color w:val="000000"/>
          <w:sz w:val="20"/>
          <w:szCs w:val="20"/>
        </w:rPr>
        <w:t xml:space="preserve">) is to be used. When the animal requires RBCs, clotting factors, </w:t>
      </w:r>
      <w:proofErr w:type="spellStart"/>
      <w:r w:rsidRPr="00BF3D5A">
        <w:rPr>
          <w:rFonts w:ascii="Arial" w:eastAsia="Times New Roman" w:hAnsi="Arial" w:cs="Arial"/>
          <w:color w:val="000000"/>
          <w:sz w:val="20"/>
          <w:szCs w:val="20"/>
        </w:rPr>
        <w:t>antithrombin</w:t>
      </w:r>
      <w:proofErr w:type="spellEnd"/>
      <w:r w:rsidRPr="00BF3D5A">
        <w:rPr>
          <w:rFonts w:ascii="Arial" w:eastAsia="Times New Roman" w:hAnsi="Arial" w:cs="Arial"/>
          <w:color w:val="000000"/>
          <w:sz w:val="20"/>
          <w:szCs w:val="20"/>
        </w:rPr>
        <w:t xml:space="preserve"> III, or albumin, blood products are the colloids of choice.</w:t>
      </w:r>
    </w:p>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1" w:name="v4691488"/>
      <w:bookmarkEnd w:id="1"/>
      <w:r w:rsidRPr="00BF3D5A">
        <w:rPr>
          <w:rFonts w:ascii="Arial" w:eastAsia="Times New Roman" w:hAnsi="Arial" w:cs="Arial"/>
          <w:color w:val="000000"/>
          <w:sz w:val="20"/>
          <w:szCs w:val="20"/>
        </w:rPr>
        <w:t xml:space="preserve">When the initial goal is to rapidly improve perfusion in an animal with adequate RBCs, a synthetic colloid can achieve the desired volume expansion rapidly. Choices of synthetic colloids include dextran, </w:t>
      </w:r>
      <w:proofErr w:type="spellStart"/>
      <w:r w:rsidRPr="00BF3D5A">
        <w:rPr>
          <w:rFonts w:ascii="Arial" w:eastAsia="Times New Roman" w:hAnsi="Arial" w:cs="Arial"/>
          <w:color w:val="000000"/>
          <w:sz w:val="20"/>
          <w:szCs w:val="20"/>
        </w:rPr>
        <w:t>hydroxyethyl</w:t>
      </w:r>
      <w:proofErr w:type="spellEnd"/>
      <w:r w:rsidRPr="00BF3D5A">
        <w:rPr>
          <w:rFonts w:ascii="Arial" w:eastAsia="Times New Roman" w:hAnsi="Arial" w:cs="Arial"/>
          <w:color w:val="000000"/>
          <w:sz w:val="20"/>
          <w:szCs w:val="20"/>
        </w:rPr>
        <w:t xml:space="preserve"> starch (HES), and </w:t>
      </w:r>
      <w:proofErr w:type="spellStart"/>
      <w:r w:rsidRPr="00BF3D5A">
        <w:rPr>
          <w:rFonts w:ascii="Arial" w:eastAsia="Times New Roman" w:hAnsi="Arial" w:cs="Arial"/>
          <w:color w:val="000000"/>
          <w:sz w:val="20"/>
          <w:szCs w:val="20"/>
        </w:rPr>
        <w:t>stroma</w:t>
      </w:r>
      <w:proofErr w:type="spellEnd"/>
      <w:r w:rsidRPr="00BF3D5A">
        <w:rPr>
          <w:rFonts w:ascii="Arial" w:eastAsia="Times New Roman" w:hAnsi="Arial" w:cs="Arial"/>
          <w:color w:val="000000"/>
          <w:sz w:val="20"/>
          <w:szCs w:val="20"/>
        </w:rPr>
        <w:t>-free hemoglobin.</w:t>
      </w:r>
    </w:p>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2" w:name="v4691489"/>
      <w:bookmarkEnd w:id="2"/>
      <w:proofErr w:type="spellStart"/>
      <w:r w:rsidRPr="00BF3D5A">
        <w:rPr>
          <w:rFonts w:ascii="Arial" w:eastAsia="Times New Roman" w:hAnsi="Arial" w:cs="Arial"/>
          <w:b/>
          <w:bCs/>
          <w:color w:val="000000"/>
          <w:sz w:val="20"/>
          <w:szCs w:val="20"/>
        </w:rPr>
        <w:t>Dextrans</w:t>
      </w:r>
      <w:proofErr w:type="spellEnd"/>
      <w:r w:rsidRPr="00BF3D5A">
        <w:rPr>
          <w:rFonts w:ascii="Arial" w:eastAsia="Times New Roman" w:hAnsi="Arial" w:cs="Arial"/>
          <w:color w:val="000000"/>
          <w:sz w:val="20"/>
          <w:szCs w:val="20"/>
        </w:rPr>
        <w:t xml:space="preserve"> are polysaccharides composed of linear glucose residues. They are produced by the enzyme dextran </w:t>
      </w:r>
      <w:proofErr w:type="spellStart"/>
      <w:r w:rsidRPr="00BF3D5A">
        <w:rPr>
          <w:rFonts w:ascii="Arial" w:eastAsia="Times New Roman" w:hAnsi="Arial" w:cs="Arial"/>
          <w:color w:val="000000"/>
          <w:sz w:val="20"/>
          <w:szCs w:val="20"/>
        </w:rPr>
        <w:t>sucrase</w:t>
      </w:r>
      <w:proofErr w:type="spellEnd"/>
      <w:r w:rsidRPr="00BF3D5A">
        <w:rPr>
          <w:rFonts w:ascii="Arial" w:eastAsia="Times New Roman" w:hAnsi="Arial" w:cs="Arial"/>
          <w:color w:val="000000"/>
          <w:sz w:val="20"/>
          <w:szCs w:val="20"/>
        </w:rPr>
        <w:t xml:space="preserve"> during growth of various strains of </w:t>
      </w:r>
      <w:proofErr w:type="spellStart"/>
      <w:r w:rsidRPr="00BF3D5A">
        <w:rPr>
          <w:rFonts w:ascii="Arial" w:eastAsia="Times New Roman" w:hAnsi="Arial" w:cs="Arial"/>
          <w:i/>
          <w:iCs/>
          <w:color w:val="000000"/>
          <w:sz w:val="20"/>
          <w:szCs w:val="20"/>
        </w:rPr>
        <w:t>Leuconostoc</w:t>
      </w:r>
      <w:proofErr w:type="spellEnd"/>
      <w:r w:rsidRPr="00BF3D5A">
        <w:rPr>
          <w:rFonts w:ascii="Arial" w:eastAsia="Times New Roman" w:hAnsi="Arial" w:cs="Arial"/>
          <w:color w:val="000000"/>
          <w:sz w:val="20"/>
          <w:szCs w:val="20"/>
        </w:rPr>
        <w:t xml:space="preserve"> bacteria in media containing sucrose. </w:t>
      </w:r>
      <w:proofErr w:type="spellStart"/>
      <w:r w:rsidRPr="00BF3D5A">
        <w:rPr>
          <w:rFonts w:ascii="Arial" w:eastAsia="Times New Roman" w:hAnsi="Arial" w:cs="Arial"/>
          <w:color w:val="000000"/>
          <w:sz w:val="20"/>
          <w:szCs w:val="20"/>
        </w:rPr>
        <w:t>Dextrans</w:t>
      </w:r>
      <w:proofErr w:type="spellEnd"/>
      <w:r w:rsidRPr="00BF3D5A">
        <w:rPr>
          <w:rFonts w:ascii="Arial" w:eastAsia="Times New Roman" w:hAnsi="Arial" w:cs="Arial"/>
          <w:color w:val="000000"/>
          <w:sz w:val="20"/>
          <w:szCs w:val="20"/>
        </w:rPr>
        <w:t xml:space="preserve"> are isotonic and can be stored at room temperature. Dextran is broken down completely to CO</w:t>
      </w:r>
      <w:r w:rsidRPr="00BF3D5A">
        <w:rPr>
          <w:rFonts w:ascii="Arial" w:eastAsia="Times New Roman" w:hAnsi="Arial" w:cs="Arial"/>
          <w:color w:val="000000"/>
          <w:sz w:val="20"/>
          <w:szCs w:val="20"/>
          <w:vertAlign w:val="subscript"/>
        </w:rPr>
        <w:t>2</w:t>
      </w:r>
      <w:r w:rsidRPr="00BF3D5A">
        <w:rPr>
          <w:rFonts w:ascii="Arial" w:eastAsia="Times New Roman" w:hAnsi="Arial" w:cs="Arial"/>
          <w:color w:val="000000"/>
          <w:sz w:val="20"/>
          <w:szCs w:val="20"/>
        </w:rPr>
        <w:t> and H</w:t>
      </w:r>
      <w:r w:rsidRPr="00BF3D5A">
        <w:rPr>
          <w:rFonts w:ascii="Arial" w:eastAsia="Times New Roman" w:hAnsi="Arial" w:cs="Arial"/>
          <w:color w:val="000000"/>
          <w:sz w:val="20"/>
          <w:szCs w:val="20"/>
          <w:vertAlign w:val="subscript"/>
        </w:rPr>
        <w:t>2</w:t>
      </w:r>
      <w:r w:rsidRPr="00BF3D5A">
        <w:rPr>
          <w:rFonts w:ascii="Arial" w:eastAsia="Times New Roman" w:hAnsi="Arial" w:cs="Arial"/>
          <w:color w:val="000000"/>
          <w:sz w:val="20"/>
          <w:szCs w:val="20"/>
        </w:rPr>
        <w:t xml:space="preserve">O by </w:t>
      </w:r>
      <w:proofErr w:type="spellStart"/>
      <w:r w:rsidRPr="00BF3D5A">
        <w:rPr>
          <w:rFonts w:ascii="Arial" w:eastAsia="Times New Roman" w:hAnsi="Arial" w:cs="Arial"/>
          <w:color w:val="000000"/>
          <w:sz w:val="20"/>
          <w:szCs w:val="20"/>
        </w:rPr>
        <w:t>dextranase</w:t>
      </w:r>
      <w:proofErr w:type="spellEnd"/>
      <w:r w:rsidRPr="00BF3D5A">
        <w:rPr>
          <w:rFonts w:ascii="Arial" w:eastAsia="Times New Roman" w:hAnsi="Arial" w:cs="Arial"/>
          <w:color w:val="000000"/>
          <w:sz w:val="20"/>
          <w:szCs w:val="20"/>
        </w:rPr>
        <w:t xml:space="preserve"> present in spleen, liver, lung, kidney, brain, and muscle at a rate approaching 70 mg/kg every 24 hr. In normal dogs, dextran 70 increases plasma volume 1.38 times (138%) the volume infused.</w:t>
      </w:r>
    </w:p>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3" w:name="v4691492"/>
      <w:bookmarkEnd w:id="3"/>
      <w:r w:rsidRPr="00BF3D5A">
        <w:rPr>
          <w:rFonts w:ascii="Arial" w:eastAsia="Times New Roman" w:hAnsi="Arial" w:cs="Arial"/>
          <w:color w:val="000000"/>
          <w:sz w:val="20"/>
          <w:szCs w:val="20"/>
        </w:rPr>
        <w:t xml:space="preserve">Hemostatic changes in healthy experimental dogs given dextran 70 include an increase in the buccal mucosal bleeding time and partial </w:t>
      </w:r>
      <w:proofErr w:type="spellStart"/>
      <w:r w:rsidRPr="00BF3D5A">
        <w:rPr>
          <w:rFonts w:ascii="Arial" w:eastAsia="Times New Roman" w:hAnsi="Arial" w:cs="Arial"/>
          <w:color w:val="000000"/>
          <w:sz w:val="20"/>
          <w:szCs w:val="20"/>
        </w:rPr>
        <w:t>thromboplastin</w:t>
      </w:r>
      <w:proofErr w:type="spellEnd"/>
      <w:r w:rsidRPr="00BF3D5A">
        <w:rPr>
          <w:rFonts w:ascii="Arial" w:eastAsia="Times New Roman" w:hAnsi="Arial" w:cs="Arial"/>
          <w:color w:val="000000"/>
          <w:sz w:val="20"/>
          <w:szCs w:val="20"/>
        </w:rPr>
        <w:t xml:space="preserve"> time and a decrease in von </w:t>
      </w:r>
      <w:proofErr w:type="spellStart"/>
      <w:r w:rsidRPr="00BF3D5A">
        <w:rPr>
          <w:rFonts w:ascii="Arial" w:eastAsia="Times New Roman" w:hAnsi="Arial" w:cs="Arial"/>
          <w:color w:val="000000"/>
          <w:sz w:val="20"/>
          <w:szCs w:val="20"/>
        </w:rPr>
        <w:t>Willebrand</w:t>
      </w:r>
      <w:proofErr w:type="spellEnd"/>
      <w:r w:rsidRPr="00BF3D5A">
        <w:rPr>
          <w:rFonts w:ascii="Arial" w:eastAsia="Times New Roman" w:hAnsi="Arial" w:cs="Arial"/>
          <w:color w:val="000000"/>
          <w:sz w:val="20"/>
          <w:szCs w:val="20"/>
        </w:rPr>
        <w:t xml:space="preserve"> factor antigen and factor VIII coagulant activity, without clinical bleeding. Dextran copolymerizes with the fibrin monomer, destabilizing clot formation. Blood glucose levels may be increased during dextran metabolism. Dextran 70 may cause a change in the total solids value that does not reflect actual protein content and may interfere with blood </w:t>
      </w:r>
      <w:proofErr w:type="spellStart"/>
      <w:r w:rsidRPr="00BF3D5A">
        <w:rPr>
          <w:rFonts w:ascii="Arial" w:eastAsia="Times New Roman" w:hAnsi="Arial" w:cs="Arial"/>
          <w:color w:val="000000"/>
          <w:sz w:val="20"/>
          <w:szCs w:val="20"/>
        </w:rPr>
        <w:t>crossmatching</w:t>
      </w:r>
      <w:proofErr w:type="spellEnd"/>
      <w:r w:rsidRPr="00BF3D5A">
        <w:rPr>
          <w:rFonts w:ascii="Arial" w:eastAsia="Times New Roman" w:hAnsi="Arial" w:cs="Arial"/>
          <w:color w:val="000000"/>
          <w:sz w:val="20"/>
          <w:szCs w:val="20"/>
        </w:rPr>
        <w:t xml:space="preserve">. Moderate to life-threatening reactions in dogs have been rare. Dextran 70 is being used much less commonly in favor of other colloids, and dextran 40 is not </w:t>
      </w:r>
      <w:proofErr w:type="gramStart"/>
      <w:r w:rsidRPr="00BF3D5A">
        <w:rPr>
          <w:rFonts w:ascii="Arial" w:eastAsia="Times New Roman" w:hAnsi="Arial" w:cs="Arial"/>
          <w:color w:val="000000"/>
          <w:sz w:val="20"/>
          <w:szCs w:val="20"/>
        </w:rPr>
        <w:t>recommended</w:t>
      </w:r>
      <w:proofErr w:type="gramEnd"/>
      <w:r w:rsidRPr="00BF3D5A">
        <w:rPr>
          <w:rFonts w:ascii="Arial" w:eastAsia="Times New Roman" w:hAnsi="Arial" w:cs="Arial"/>
          <w:color w:val="000000"/>
          <w:sz w:val="20"/>
          <w:szCs w:val="20"/>
        </w:rPr>
        <w:t xml:space="preserve"> because it is known to cause renal injury.</w:t>
      </w:r>
    </w:p>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4" w:name="v4691493"/>
      <w:bookmarkEnd w:id="4"/>
      <w:proofErr w:type="spellStart"/>
      <w:r w:rsidRPr="00BF3D5A">
        <w:rPr>
          <w:rFonts w:ascii="Arial" w:eastAsia="Times New Roman" w:hAnsi="Arial" w:cs="Arial"/>
          <w:b/>
          <w:bCs/>
          <w:color w:val="000000"/>
          <w:sz w:val="20"/>
          <w:szCs w:val="20"/>
        </w:rPr>
        <w:t>Hydroxyethyl</w:t>
      </w:r>
      <w:proofErr w:type="spellEnd"/>
      <w:r w:rsidRPr="00BF3D5A">
        <w:rPr>
          <w:rFonts w:ascii="Arial" w:eastAsia="Times New Roman" w:hAnsi="Arial" w:cs="Arial"/>
          <w:b/>
          <w:bCs/>
          <w:color w:val="000000"/>
          <w:sz w:val="20"/>
          <w:szCs w:val="20"/>
        </w:rPr>
        <w:t xml:space="preserve"> starch (HES)</w:t>
      </w:r>
      <w:r w:rsidRPr="00BF3D5A">
        <w:rPr>
          <w:rFonts w:ascii="Arial" w:eastAsia="Times New Roman" w:hAnsi="Arial" w:cs="Arial"/>
          <w:color w:val="000000"/>
          <w:sz w:val="20"/>
          <w:szCs w:val="20"/>
        </w:rPr>
        <w:t xml:space="preserve"> is the parent name of a polymeric molecule made from a waxy species of either corn or potatoes and is composed primarily of amylopectin (98%), which vary in size from ten thousand to several million </w:t>
      </w:r>
      <w:proofErr w:type="spellStart"/>
      <w:r w:rsidRPr="00BF3D5A">
        <w:rPr>
          <w:rFonts w:ascii="Arial" w:eastAsia="Times New Roman" w:hAnsi="Arial" w:cs="Arial"/>
          <w:color w:val="000000"/>
          <w:sz w:val="20"/>
          <w:szCs w:val="20"/>
        </w:rPr>
        <w:t>daltons</w:t>
      </w:r>
      <w:proofErr w:type="spellEnd"/>
      <w:r w:rsidRPr="00BF3D5A">
        <w:rPr>
          <w:rFonts w:ascii="Arial" w:eastAsia="Times New Roman" w:hAnsi="Arial" w:cs="Arial"/>
          <w:color w:val="000000"/>
          <w:sz w:val="20"/>
          <w:szCs w:val="20"/>
        </w:rPr>
        <w:t xml:space="preserve"> (average 70–670 thousand </w:t>
      </w:r>
      <w:proofErr w:type="spellStart"/>
      <w:r w:rsidRPr="00BF3D5A">
        <w:rPr>
          <w:rFonts w:ascii="Arial" w:eastAsia="Times New Roman" w:hAnsi="Arial" w:cs="Arial"/>
          <w:color w:val="000000"/>
          <w:sz w:val="20"/>
          <w:szCs w:val="20"/>
        </w:rPr>
        <w:t>daltons</w:t>
      </w:r>
      <w:proofErr w:type="spellEnd"/>
      <w:r w:rsidRPr="00BF3D5A">
        <w:rPr>
          <w:rFonts w:ascii="Arial" w:eastAsia="Times New Roman" w:hAnsi="Arial" w:cs="Arial"/>
          <w:color w:val="000000"/>
          <w:sz w:val="20"/>
          <w:szCs w:val="20"/>
        </w:rPr>
        <w:t xml:space="preserve">). The disappearance of HES molecules from the body depends primarily on their rate of enzymatic degradation by α-amylase and subsequent renal excretion. Other methods of elimination include absorption by tissues (liver, spleen, kidney, and heart), uptake by the </w:t>
      </w:r>
      <w:proofErr w:type="spellStart"/>
      <w:r w:rsidRPr="00BF3D5A">
        <w:rPr>
          <w:rFonts w:ascii="Arial" w:eastAsia="Times New Roman" w:hAnsi="Arial" w:cs="Arial"/>
          <w:color w:val="000000"/>
          <w:sz w:val="20"/>
          <w:szCs w:val="20"/>
        </w:rPr>
        <w:t>reticuloendothelial</w:t>
      </w:r>
      <w:proofErr w:type="spellEnd"/>
      <w:r w:rsidRPr="00BF3D5A">
        <w:rPr>
          <w:rFonts w:ascii="Arial" w:eastAsia="Times New Roman" w:hAnsi="Arial" w:cs="Arial"/>
          <w:color w:val="000000"/>
          <w:sz w:val="20"/>
          <w:szCs w:val="20"/>
        </w:rPr>
        <w:t xml:space="preserve"> system, and clearance through bile. Blood α-amylase–mediated hydrolysis (primarily at the C6 position) reduces the molecular weight to &lt;72,000 </w:t>
      </w:r>
      <w:proofErr w:type="spellStart"/>
      <w:r w:rsidRPr="00BF3D5A">
        <w:rPr>
          <w:rFonts w:ascii="Arial" w:eastAsia="Times New Roman" w:hAnsi="Arial" w:cs="Arial"/>
          <w:color w:val="000000"/>
          <w:sz w:val="20"/>
          <w:szCs w:val="20"/>
        </w:rPr>
        <w:t>daltons</w:t>
      </w:r>
      <w:proofErr w:type="spellEnd"/>
      <w:r w:rsidRPr="00BF3D5A">
        <w:rPr>
          <w:rFonts w:ascii="Arial" w:eastAsia="Times New Roman" w:hAnsi="Arial" w:cs="Arial"/>
          <w:color w:val="000000"/>
          <w:sz w:val="20"/>
          <w:szCs w:val="20"/>
        </w:rPr>
        <w:t xml:space="preserve">; these smaller particles are more </w:t>
      </w:r>
      <w:proofErr w:type="spellStart"/>
      <w:r w:rsidRPr="00BF3D5A">
        <w:rPr>
          <w:rFonts w:ascii="Arial" w:eastAsia="Times New Roman" w:hAnsi="Arial" w:cs="Arial"/>
          <w:color w:val="000000"/>
          <w:sz w:val="20"/>
          <w:szCs w:val="20"/>
        </w:rPr>
        <w:t>osmotically</w:t>
      </w:r>
      <w:proofErr w:type="spellEnd"/>
      <w:r w:rsidRPr="00BF3D5A">
        <w:rPr>
          <w:rFonts w:ascii="Arial" w:eastAsia="Times New Roman" w:hAnsi="Arial" w:cs="Arial"/>
          <w:color w:val="000000"/>
          <w:sz w:val="20"/>
          <w:szCs w:val="20"/>
        </w:rPr>
        <w:t xml:space="preserve"> active but eliminated at a faster rate through the kidney. Metabolism of HES retained in tissue is probably performed by cytoplasmic lysosomes. An increase in serum amylase is to be expected without alteration in pancreatic function.</w:t>
      </w:r>
    </w:p>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5" w:name="v4691495"/>
      <w:bookmarkEnd w:id="5"/>
      <w:r w:rsidRPr="00BF3D5A">
        <w:rPr>
          <w:rFonts w:ascii="Arial" w:eastAsia="Times New Roman" w:hAnsi="Arial" w:cs="Arial"/>
          <w:color w:val="000000"/>
          <w:sz w:val="20"/>
          <w:szCs w:val="20"/>
        </w:rPr>
        <w:t xml:space="preserve">Along with molecular weight, the degree of molar substitution, which is the number of glucose units on the starch molecule that have been replaced by </w:t>
      </w:r>
      <w:proofErr w:type="spellStart"/>
      <w:r w:rsidRPr="00BF3D5A">
        <w:rPr>
          <w:rFonts w:ascii="Arial" w:eastAsia="Times New Roman" w:hAnsi="Arial" w:cs="Arial"/>
          <w:color w:val="000000"/>
          <w:sz w:val="20"/>
          <w:szCs w:val="20"/>
        </w:rPr>
        <w:t>hydroxyethyl</w:t>
      </w:r>
      <w:proofErr w:type="spellEnd"/>
      <w:r w:rsidRPr="00BF3D5A">
        <w:rPr>
          <w:rFonts w:ascii="Arial" w:eastAsia="Times New Roman" w:hAnsi="Arial" w:cs="Arial"/>
          <w:color w:val="000000"/>
          <w:sz w:val="20"/>
          <w:szCs w:val="20"/>
        </w:rPr>
        <w:t xml:space="preserve"> units, is the major determinant of how long the different types of HES survive in the blood. Molar substitution rates vary from 0.35 to </w:t>
      </w:r>
      <w:proofErr w:type="gramStart"/>
      <w:r w:rsidRPr="00BF3D5A">
        <w:rPr>
          <w:rFonts w:ascii="Arial" w:eastAsia="Times New Roman" w:hAnsi="Arial" w:cs="Arial"/>
          <w:color w:val="000000"/>
          <w:sz w:val="20"/>
          <w:szCs w:val="20"/>
        </w:rPr>
        <w:t>0.7,</w:t>
      </w:r>
      <w:proofErr w:type="gramEnd"/>
      <w:r w:rsidRPr="00BF3D5A">
        <w:rPr>
          <w:rFonts w:ascii="Arial" w:eastAsia="Times New Roman" w:hAnsi="Arial" w:cs="Arial"/>
          <w:color w:val="000000"/>
          <w:sz w:val="20"/>
          <w:szCs w:val="20"/>
        </w:rPr>
        <w:t xml:space="preserve"> and the higher </w:t>
      </w:r>
      <w:r w:rsidRPr="00BF3D5A">
        <w:rPr>
          <w:rFonts w:ascii="Arial" w:eastAsia="Times New Roman" w:hAnsi="Arial" w:cs="Arial"/>
          <w:color w:val="000000"/>
          <w:sz w:val="20"/>
          <w:szCs w:val="20"/>
        </w:rPr>
        <w:lastRenderedPageBreak/>
        <w:t xml:space="preserve">the molar substitution, the longer the half-life in blood. The position of the molar substitution also impacts half-life; this can occur at the C2, C3, and C6 positions. </w:t>
      </w:r>
      <w:proofErr w:type="spellStart"/>
      <w:r w:rsidRPr="00BF3D5A">
        <w:rPr>
          <w:rFonts w:ascii="Arial" w:eastAsia="Times New Roman" w:hAnsi="Arial" w:cs="Arial"/>
          <w:color w:val="000000"/>
          <w:sz w:val="20"/>
          <w:szCs w:val="20"/>
        </w:rPr>
        <w:t>Stereotactically</w:t>
      </w:r>
      <w:proofErr w:type="spellEnd"/>
      <w:r w:rsidRPr="00BF3D5A">
        <w:rPr>
          <w:rFonts w:ascii="Arial" w:eastAsia="Times New Roman" w:hAnsi="Arial" w:cs="Arial"/>
          <w:color w:val="000000"/>
          <w:sz w:val="20"/>
          <w:szCs w:val="20"/>
        </w:rPr>
        <w:t xml:space="preserve">, substitution at the C2 site impedes degradation by amylase, prolonging the half-life of HES; this is often referred to as the C2:C6 ratio. Higher ratios imply impeded breakdown and therefore longer half-lives in blood. When </w:t>
      </w:r>
      <w:proofErr w:type="spellStart"/>
      <w:r w:rsidRPr="00BF3D5A">
        <w:rPr>
          <w:rFonts w:ascii="Arial" w:eastAsia="Times New Roman" w:hAnsi="Arial" w:cs="Arial"/>
          <w:color w:val="000000"/>
          <w:sz w:val="20"/>
          <w:szCs w:val="20"/>
        </w:rPr>
        <w:t>hetastarch</w:t>
      </w:r>
      <w:proofErr w:type="spellEnd"/>
      <w:r w:rsidRPr="00BF3D5A">
        <w:rPr>
          <w:rFonts w:ascii="Arial" w:eastAsia="Times New Roman" w:hAnsi="Arial" w:cs="Arial"/>
          <w:color w:val="000000"/>
          <w:sz w:val="20"/>
          <w:szCs w:val="20"/>
        </w:rPr>
        <w:t xml:space="preserve"> (the most common HES) is infused at 25 mL/kg in healthy dogs, the initial increase in plasma volume is 1.37 times (137%) the volume infused; most </w:t>
      </w:r>
      <w:proofErr w:type="spellStart"/>
      <w:r w:rsidRPr="00BF3D5A">
        <w:rPr>
          <w:rFonts w:ascii="Arial" w:eastAsia="Times New Roman" w:hAnsi="Arial" w:cs="Arial"/>
          <w:color w:val="000000"/>
          <w:sz w:val="20"/>
          <w:szCs w:val="20"/>
        </w:rPr>
        <w:t>hetastarches</w:t>
      </w:r>
      <w:proofErr w:type="spellEnd"/>
      <w:r w:rsidRPr="00BF3D5A">
        <w:rPr>
          <w:rFonts w:ascii="Arial" w:eastAsia="Times New Roman" w:hAnsi="Arial" w:cs="Arial"/>
          <w:color w:val="000000"/>
          <w:sz w:val="20"/>
          <w:szCs w:val="20"/>
        </w:rPr>
        <w:t xml:space="preserve"> will expand plasma volume 100%–150%. Intravascular persistence is significantly greater than that of dextran 70, with 38% of </w:t>
      </w:r>
      <w:proofErr w:type="spellStart"/>
      <w:r w:rsidRPr="00BF3D5A">
        <w:rPr>
          <w:rFonts w:ascii="Arial" w:eastAsia="Times New Roman" w:hAnsi="Arial" w:cs="Arial"/>
          <w:color w:val="000000"/>
          <w:sz w:val="20"/>
          <w:szCs w:val="20"/>
        </w:rPr>
        <w:t>hetastarch</w:t>
      </w:r>
      <w:proofErr w:type="spellEnd"/>
      <w:r w:rsidRPr="00BF3D5A">
        <w:rPr>
          <w:rFonts w:ascii="Arial" w:eastAsia="Times New Roman" w:hAnsi="Arial" w:cs="Arial"/>
          <w:color w:val="000000"/>
          <w:sz w:val="20"/>
          <w:szCs w:val="20"/>
        </w:rPr>
        <w:t xml:space="preserve"> remaining, compared with 19% of dextran, 24 </w:t>
      </w:r>
      <w:proofErr w:type="spellStart"/>
      <w:r w:rsidRPr="00BF3D5A">
        <w:rPr>
          <w:rFonts w:ascii="Arial" w:eastAsia="Times New Roman" w:hAnsi="Arial" w:cs="Arial"/>
          <w:color w:val="000000"/>
          <w:sz w:val="20"/>
          <w:szCs w:val="20"/>
        </w:rPr>
        <w:t>hr</w:t>
      </w:r>
      <w:proofErr w:type="spellEnd"/>
      <w:r w:rsidRPr="00BF3D5A">
        <w:rPr>
          <w:rFonts w:ascii="Arial" w:eastAsia="Times New Roman" w:hAnsi="Arial" w:cs="Arial"/>
          <w:color w:val="000000"/>
          <w:sz w:val="20"/>
          <w:szCs w:val="20"/>
        </w:rPr>
        <w:t xml:space="preserve"> after infusion. Administration by constant-rate infusion may provide a constant supply of larger molecular weight particles, perhaps maintaining and augmenting plasma COP and intravascular volume in animals with albumin loss or increased capillary permeability. Most HES molecules may persist in the body for 2–7 days.</w:t>
      </w:r>
    </w:p>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6" w:name="v4691497"/>
      <w:bookmarkEnd w:id="6"/>
      <w:proofErr w:type="spellStart"/>
      <w:r w:rsidRPr="00BF3D5A">
        <w:rPr>
          <w:rFonts w:ascii="Arial" w:eastAsia="Times New Roman" w:hAnsi="Arial" w:cs="Arial"/>
          <w:color w:val="000000"/>
          <w:sz w:val="20"/>
          <w:szCs w:val="20"/>
        </w:rPr>
        <w:t>Hydroxyethyl</w:t>
      </w:r>
      <w:proofErr w:type="spellEnd"/>
      <w:r w:rsidRPr="00BF3D5A">
        <w:rPr>
          <w:rFonts w:ascii="Arial" w:eastAsia="Times New Roman" w:hAnsi="Arial" w:cs="Arial"/>
          <w:color w:val="000000"/>
          <w:sz w:val="20"/>
          <w:szCs w:val="20"/>
        </w:rPr>
        <w:t xml:space="preserve"> starches favor retention of intravascular fluid and prevent washout of interstitial proteins. In </w:t>
      </w:r>
      <w:proofErr w:type="spellStart"/>
      <w:r w:rsidRPr="00BF3D5A">
        <w:rPr>
          <w:rFonts w:ascii="Arial" w:eastAsia="Times New Roman" w:hAnsi="Arial" w:cs="Arial"/>
          <w:color w:val="000000"/>
          <w:sz w:val="20"/>
          <w:szCs w:val="20"/>
        </w:rPr>
        <w:t>hypooncotic</w:t>
      </w:r>
      <w:proofErr w:type="spellEnd"/>
      <w:r w:rsidRPr="00BF3D5A">
        <w:rPr>
          <w:rFonts w:ascii="Arial" w:eastAsia="Times New Roman" w:hAnsi="Arial" w:cs="Arial"/>
          <w:color w:val="000000"/>
          <w:sz w:val="20"/>
          <w:szCs w:val="20"/>
        </w:rPr>
        <w:t xml:space="preserve"> situations, HES infusion has a great advantage over other colloids because the larger molecules remain intravascular, limiting pulmonary fluid flux. It is nontoxic and </w:t>
      </w:r>
      <w:proofErr w:type="spellStart"/>
      <w:r w:rsidRPr="00BF3D5A">
        <w:rPr>
          <w:rFonts w:ascii="Arial" w:eastAsia="Times New Roman" w:hAnsi="Arial" w:cs="Arial"/>
          <w:color w:val="000000"/>
          <w:sz w:val="20"/>
          <w:szCs w:val="20"/>
        </w:rPr>
        <w:t>nonallergenic</w:t>
      </w:r>
      <w:proofErr w:type="spellEnd"/>
      <w:r w:rsidRPr="00BF3D5A">
        <w:rPr>
          <w:rFonts w:ascii="Arial" w:eastAsia="Times New Roman" w:hAnsi="Arial" w:cs="Arial"/>
          <w:color w:val="000000"/>
          <w:sz w:val="20"/>
          <w:szCs w:val="20"/>
        </w:rPr>
        <w:t xml:space="preserve"> in dosages as high as 100 mL/kg in dogs. Many cats have a moderate reaction—nausea and occasional vomiting—with rapid infusion. However, when </w:t>
      </w:r>
      <w:proofErr w:type="spellStart"/>
      <w:r w:rsidRPr="00BF3D5A">
        <w:rPr>
          <w:rFonts w:ascii="Arial" w:eastAsia="Times New Roman" w:hAnsi="Arial" w:cs="Arial"/>
          <w:color w:val="000000"/>
          <w:sz w:val="20"/>
          <w:szCs w:val="20"/>
        </w:rPr>
        <w:t>hetastarch</w:t>
      </w:r>
      <w:proofErr w:type="spellEnd"/>
      <w:r w:rsidRPr="00BF3D5A">
        <w:rPr>
          <w:rFonts w:ascii="Arial" w:eastAsia="Times New Roman" w:hAnsi="Arial" w:cs="Arial"/>
          <w:color w:val="000000"/>
          <w:sz w:val="20"/>
          <w:szCs w:val="20"/>
        </w:rPr>
        <w:t xml:space="preserve"> is given slowly (throughout 5–15 min), this adverse effect is minimal. Renal injury, reported to occur from an osmotic </w:t>
      </w:r>
      <w:proofErr w:type="spellStart"/>
      <w:r w:rsidRPr="00BF3D5A">
        <w:rPr>
          <w:rFonts w:ascii="Arial" w:eastAsia="Times New Roman" w:hAnsi="Arial" w:cs="Arial"/>
          <w:color w:val="000000"/>
          <w:sz w:val="20"/>
          <w:szCs w:val="20"/>
        </w:rPr>
        <w:t>nephrosis</w:t>
      </w:r>
      <w:proofErr w:type="spellEnd"/>
      <w:r w:rsidRPr="00BF3D5A">
        <w:rPr>
          <w:rFonts w:ascii="Arial" w:eastAsia="Times New Roman" w:hAnsi="Arial" w:cs="Arial"/>
          <w:color w:val="000000"/>
          <w:sz w:val="20"/>
          <w:szCs w:val="20"/>
        </w:rPr>
        <w:t xml:space="preserve"> in people, has been poorly documented in dogs and cats, and allergic reactions are rare.</w:t>
      </w:r>
    </w:p>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7" w:name="v4691498"/>
      <w:bookmarkEnd w:id="7"/>
      <w:proofErr w:type="spellStart"/>
      <w:r w:rsidRPr="00BF3D5A">
        <w:rPr>
          <w:rFonts w:ascii="Arial" w:eastAsia="Times New Roman" w:hAnsi="Arial" w:cs="Arial"/>
          <w:color w:val="000000"/>
          <w:sz w:val="20"/>
          <w:szCs w:val="20"/>
        </w:rPr>
        <w:t>Hetastarch</w:t>
      </w:r>
      <w:proofErr w:type="spellEnd"/>
      <w:r w:rsidRPr="00BF3D5A">
        <w:rPr>
          <w:rFonts w:ascii="Arial" w:eastAsia="Times New Roman" w:hAnsi="Arial" w:cs="Arial"/>
          <w:color w:val="000000"/>
          <w:sz w:val="20"/>
          <w:szCs w:val="20"/>
        </w:rPr>
        <w:t xml:space="preserve"> is associated with minor alterations in laboratory coagulation measurements but not with clinical bleeding unless daily minimal dosages (20–50 mL/kg/day) are exceeded. Molecular weight seems to have the biggest impact on coagulation, with larger molecular weight starches impacting coagulation to a greater degree. The proposed mechanisms of impact on coagulation include "coating" platelets or impeded platelet receptor </w:t>
      </w:r>
      <w:proofErr w:type="spellStart"/>
      <w:r w:rsidRPr="00BF3D5A">
        <w:rPr>
          <w:rFonts w:ascii="Arial" w:eastAsia="Times New Roman" w:hAnsi="Arial" w:cs="Arial"/>
          <w:color w:val="000000"/>
          <w:sz w:val="20"/>
          <w:szCs w:val="20"/>
        </w:rPr>
        <w:t>signalling</w:t>
      </w:r>
      <w:proofErr w:type="spellEnd"/>
      <w:r w:rsidRPr="00BF3D5A">
        <w:rPr>
          <w:rFonts w:ascii="Arial" w:eastAsia="Times New Roman" w:hAnsi="Arial" w:cs="Arial"/>
          <w:color w:val="000000"/>
          <w:sz w:val="20"/>
          <w:szCs w:val="20"/>
        </w:rPr>
        <w:t xml:space="preserve">, dilution of coagulation factors, and interference with von </w:t>
      </w:r>
      <w:proofErr w:type="spellStart"/>
      <w:r w:rsidRPr="00BF3D5A">
        <w:rPr>
          <w:rFonts w:ascii="Arial" w:eastAsia="Times New Roman" w:hAnsi="Arial" w:cs="Arial"/>
          <w:color w:val="000000"/>
          <w:sz w:val="20"/>
          <w:szCs w:val="20"/>
        </w:rPr>
        <w:t>Willebrand</w:t>
      </w:r>
      <w:proofErr w:type="spellEnd"/>
      <w:r w:rsidRPr="00BF3D5A">
        <w:rPr>
          <w:rFonts w:ascii="Arial" w:eastAsia="Times New Roman" w:hAnsi="Arial" w:cs="Arial"/>
          <w:color w:val="000000"/>
          <w:sz w:val="20"/>
          <w:szCs w:val="20"/>
        </w:rPr>
        <w:t xml:space="preserve"> factor/factor VIII interaction. </w:t>
      </w:r>
      <w:proofErr w:type="spellStart"/>
      <w:r w:rsidRPr="00BF3D5A">
        <w:rPr>
          <w:rFonts w:ascii="Arial" w:eastAsia="Times New Roman" w:hAnsi="Arial" w:cs="Arial"/>
          <w:color w:val="000000"/>
          <w:sz w:val="20"/>
          <w:szCs w:val="20"/>
        </w:rPr>
        <w:t>Dilutional</w:t>
      </w:r>
      <w:proofErr w:type="spellEnd"/>
      <w:r w:rsidRPr="00BF3D5A">
        <w:rPr>
          <w:rFonts w:ascii="Arial" w:eastAsia="Times New Roman" w:hAnsi="Arial" w:cs="Arial"/>
          <w:color w:val="000000"/>
          <w:sz w:val="20"/>
          <w:szCs w:val="20"/>
        </w:rPr>
        <w:t xml:space="preserve"> effects on coagulation, cells, and proteins are produced in response to the volume expansion of the plasma. Animals that receive large volumes of HES solutions may have more oozing if surgery is performed, and diligent hemostasis is warranted.</w:t>
      </w:r>
    </w:p>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8" w:name="v9165527"/>
      <w:bookmarkEnd w:id="8"/>
      <w:r w:rsidRPr="00BF3D5A">
        <w:rPr>
          <w:rFonts w:ascii="Arial" w:eastAsia="Times New Roman" w:hAnsi="Arial" w:cs="Arial"/>
          <w:color w:val="000000"/>
          <w:sz w:val="20"/>
          <w:szCs w:val="20"/>
        </w:rPr>
        <w:t>A variety of HES solutions are currently available, each with its own advantages and disadvantages based on its molecular composition.</w:t>
      </w:r>
    </w:p>
    <w:tbl>
      <w:tblPr>
        <w:tblW w:w="8250" w:type="dxa"/>
        <w:tblCellSpacing w:w="0" w:type="dxa"/>
        <w:shd w:val="clear" w:color="auto" w:fill="FFFFFF"/>
        <w:tblCellMar>
          <w:left w:w="0" w:type="dxa"/>
          <w:right w:w="0" w:type="dxa"/>
        </w:tblCellMar>
        <w:tblLook w:val="04A0" w:firstRow="1" w:lastRow="0" w:firstColumn="1" w:lastColumn="0" w:noHBand="0" w:noVBand="1"/>
      </w:tblPr>
      <w:tblGrid>
        <w:gridCol w:w="777"/>
        <w:gridCol w:w="8522"/>
        <w:gridCol w:w="61"/>
      </w:tblGrid>
      <w:tr w:rsidR="00BF3D5A" w:rsidRPr="00BF3D5A" w:rsidTr="00BF3D5A">
        <w:trPr>
          <w:tblCellSpacing w:w="0" w:type="dxa"/>
        </w:trPr>
        <w:tc>
          <w:tcPr>
            <w:tcW w:w="0" w:type="auto"/>
            <w:gridSpan w:val="3"/>
            <w:shd w:val="clear" w:color="auto" w:fill="FFFFFF"/>
            <w:vAlign w:val="center"/>
            <w:hideMark/>
          </w:tcPr>
          <w:p w:rsidR="00BF3D5A" w:rsidRPr="00BF3D5A" w:rsidRDefault="00BF3D5A" w:rsidP="00BF3D5A">
            <w:pPr>
              <w:spacing w:after="0" w:line="240" w:lineRule="auto"/>
              <w:jc w:val="center"/>
              <w:rPr>
                <w:rFonts w:ascii="Arial" w:eastAsia="Times New Roman" w:hAnsi="Arial" w:cs="Arial"/>
                <w:b/>
                <w:bCs/>
                <w:color w:val="000000"/>
                <w:sz w:val="21"/>
                <w:szCs w:val="21"/>
              </w:rPr>
            </w:pPr>
            <w:bookmarkStart w:id="9" w:name="v4691499"/>
            <w:bookmarkStart w:id="10" w:name="v4691500"/>
            <w:bookmarkStart w:id="11" w:name="v4691501"/>
            <w:bookmarkStart w:id="12" w:name="v4691503"/>
            <w:bookmarkStart w:id="13" w:name="v4691504"/>
            <w:bookmarkStart w:id="14" w:name="v4691505"/>
            <w:bookmarkStart w:id="15" w:name="v4691506"/>
            <w:bookmarkStart w:id="16" w:name="v4691507"/>
            <w:bookmarkStart w:id="17" w:name="v9165536"/>
            <w:bookmarkStart w:id="18" w:name="v9165537"/>
            <w:bookmarkStart w:id="19" w:name="v4691508"/>
            <w:bookmarkStart w:id="20" w:name="v4691509"/>
            <w:bookmarkStart w:id="21" w:name="v9165538"/>
            <w:bookmarkStart w:id="22" w:name="v4691510"/>
            <w:bookmarkStart w:id="23" w:name="v4691511"/>
            <w:bookmarkStart w:id="24" w:name="v9165539"/>
            <w:bookmarkStart w:id="25" w:name="v9165540"/>
            <w:bookmarkStart w:id="26" w:name="v9165541"/>
            <w:bookmarkStart w:id="27" w:name="v9165542"/>
            <w:bookmarkStart w:id="28" w:name="v4691514"/>
            <w:bookmarkStart w:id="29" w:name="v4691515"/>
            <w:bookmarkStart w:id="30" w:name="v9165543"/>
            <w:bookmarkStart w:id="31" w:name="v9165544"/>
            <w:bookmarkStart w:id="32" w:name="v9165545"/>
            <w:bookmarkStart w:id="33" w:name="v9165546"/>
            <w:bookmarkStart w:id="34" w:name="v4691516"/>
            <w:bookmarkStart w:id="35" w:name="v4691517"/>
            <w:bookmarkStart w:id="36" w:name="v9165547"/>
            <w:bookmarkStart w:id="37" w:name="v9165548"/>
            <w:bookmarkStart w:id="38" w:name="v9165549"/>
            <w:bookmarkStart w:id="39" w:name="v9165550"/>
            <w:bookmarkStart w:id="40" w:name="v9165551"/>
            <w:bookmarkStart w:id="41" w:name="v9165552"/>
            <w:bookmarkStart w:id="42" w:name="v9165553"/>
            <w:bookmarkStart w:id="43" w:name="v9165554"/>
            <w:bookmarkStart w:id="44" w:name="v9165555"/>
            <w:bookmarkStart w:id="45" w:name="v9165556"/>
            <w:bookmarkStart w:id="46" w:name="v4691520"/>
            <w:bookmarkStart w:id="47" w:name="v4691521"/>
            <w:bookmarkStart w:id="48" w:name="v4691522"/>
            <w:bookmarkStart w:id="49" w:name="v4691523"/>
            <w:bookmarkStart w:id="50" w:name="v9165557"/>
            <w:bookmarkStart w:id="51" w:name="v9165558"/>
            <w:bookmarkStart w:id="52" w:name="v4691524"/>
            <w:bookmarkStart w:id="53" w:name="v4691525"/>
            <w:bookmarkStart w:id="54" w:name="v4691526"/>
            <w:bookmarkStart w:id="55" w:name="v4691527"/>
            <w:bookmarkStart w:id="56" w:name="v9165559"/>
            <w:bookmarkStart w:id="57" w:name="v9165560"/>
            <w:bookmarkStart w:id="58" w:name="v4691530"/>
            <w:bookmarkStart w:id="59" w:name="v4691531"/>
            <w:bookmarkStart w:id="60" w:name="v9165561"/>
            <w:bookmarkStart w:id="61" w:name="v9165562"/>
            <w:bookmarkStart w:id="62" w:name="v4691532"/>
            <w:bookmarkStart w:id="63" w:name="v4691533"/>
            <w:bookmarkStart w:id="64" w:name="v4691536"/>
            <w:bookmarkStart w:id="65" w:name="v4691537"/>
            <w:bookmarkStart w:id="66" w:name="v9165563"/>
            <w:bookmarkStart w:id="67" w:name="v9165564"/>
            <w:bookmarkStart w:id="68" w:name="v9165565"/>
            <w:bookmarkStart w:id="69" w:name="v4691538"/>
            <w:bookmarkStart w:id="70" w:name="v9165566"/>
            <w:bookmarkStart w:id="71" w:name="v9165567"/>
            <w:bookmarkStart w:id="72" w:name="v4691539"/>
            <w:bookmarkStart w:id="73" w:name="v4691540"/>
            <w:bookmarkStart w:id="74" w:name="v4691541"/>
            <w:bookmarkStart w:id="75" w:name="v4691542"/>
            <w:bookmarkStart w:id="76" w:name="v9165568"/>
            <w:bookmarkStart w:id="77" w:name="v9165569"/>
            <w:bookmarkStart w:id="78" w:name="v4691545"/>
            <w:bookmarkStart w:id="79" w:name="v4691546"/>
            <w:bookmarkStart w:id="80" w:name="v9165570"/>
            <w:bookmarkStart w:id="81" w:name="v9165571"/>
            <w:bookmarkStart w:id="82" w:name="v4691547"/>
            <w:bookmarkStart w:id="83" w:name="v4691548"/>
            <w:bookmarkStart w:id="84" w:name="v9165572"/>
            <w:bookmarkStart w:id="85" w:name="v9165573"/>
            <w:bookmarkStart w:id="86" w:name="v9165574"/>
            <w:bookmarkStart w:id="87" w:name="v9165575"/>
            <w:bookmarkStart w:id="88" w:name="v9165576"/>
            <w:bookmarkStart w:id="89" w:name="v9165577"/>
            <w:bookmarkStart w:id="90" w:name="v9165578"/>
            <w:bookmarkStart w:id="91" w:name="v9165579"/>
            <w:bookmarkStart w:id="92" w:name="v9165580"/>
            <w:bookmarkStart w:id="93" w:name="v9165581"/>
            <w:bookmarkStart w:id="94" w:name="v9165582"/>
            <w:bookmarkStart w:id="95" w:name="v9165583"/>
            <w:bookmarkStart w:id="96" w:name="v9165584"/>
            <w:bookmarkStart w:id="97" w:name="v9165585"/>
            <w:bookmarkStart w:id="98" w:name="v9165586"/>
            <w:bookmarkStart w:id="99" w:name="v9165587"/>
            <w:bookmarkStart w:id="100" w:name="v9165588"/>
            <w:bookmarkStart w:id="101" w:name="v9165589"/>
            <w:bookmarkStart w:id="102" w:name="v9165590"/>
            <w:bookmarkStart w:id="103" w:name="v9165591"/>
            <w:bookmarkStart w:id="104" w:name="v9165592"/>
            <w:bookmarkStart w:id="105" w:name="v9165593"/>
            <w:bookmarkStart w:id="106" w:name="v9165594"/>
            <w:bookmarkStart w:id="107" w:name="v9165595"/>
            <w:bookmarkStart w:id="108" w:name="v9165596"/>
            <w:bookmarkStart w:id="109" w:name="v9165597"/>
            <w:bookmarkStart w:id="110" w:name="v9165598"/>
            <w:bookmarkStart w:id="111" w:name="v9165599"/>
            <w:bookmarkStart w:id="112" w:name="v9165600"/>
            <w:bookmarkStart w:id="113" w:name="v9165601"/>
            <w:bookmarkStart w:id="114" w:name="v9165602"/>
            <w:bookmarkStart w:id="115" w:name="v9165603"/>
            <w:bookmarkStart w:id="116" w:name="v9165604"/>
            <w:bookmarkStart w:id="117" w:name="v9165605"/>
            <w:bookmarkStart w:id="118" w:name="v9165606"/>
            <w:bookmarkStart w:id="119" w:name="v9165607"/>
            <w:bookmarkStart w:id="120" w:name="v4691551"/>
            <w:bookmarkStart w:id="121" w:name="v4691552"/>
            <w:bookmarkStart w:id="122" w:name="v4691553"/>
            <w:bookmarkStart w:id="123" w:name="v9165608"/>
            <w:bookmarkStart w:id="124" w:name="v9165609"/>
            <w:bookmarkStart w:id="125" w:name="v4691554"/>
            <w:bookmarkStart w:id="126" w:name="v4691555"/>
            <w:bookmarkStart w:id="127" w:name="v4691556"/>
            <w:bookmarkStart w:id="128" w:name="v4691557"/>
            <w:bookmarkStart w:id="129" w:name="v9165610"/>
            <w:bookmarkStart w:id="130" w:name="v9165611"/>
            <w:bookmarkStart w:id="131" w:name="v4691560"/>
            <w:bookmarkStart w:id="132" w:name="v4691561"/>
            <w:bookmarkStart w:id="133" w:name="v9165612"/>
            <w:bookmarkStart w:id="134" w:name="v9165613"/>
            <w:bookmarkStart w:id="135" w:name="v4691562"/>
            <w:bookmarkStart w:id="136" w:name="v469156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BF3D5A">
              <w:rPr>
                <w:rFonts w:ascii="Arial" w:eastAsia="Times New Roman" w:hAnsi="Arial" w:cs="Arial"/>
                <w:b/>
                <w:bCs/>
                <w:color w:val="000000"/>
                <w:sz w:val="21"/>
                <w:szCs w:val="21"/>
              </w:rPr>
              <w:t>Table 3</w:t>
            </w:r>
          </w:p>
        </w:tc>
      </w:tr>
      <w:tr w:rsidR="00BF3D5A" w:rsidRPr="00BF3D5A" w:rsidTr="00BF3D5A">
        <w:trPr>
          <w:tblCellSpacing w:w="0" w:type="dxa"/>
        </w:trPr>
        <w:tc>
          <w:tcPr>
            <w:tcW w:w="0" w:type="auto"/>
            <w:gridSpan w:val="3"/>
            <w:shd w:val="clear" w:color="auto" w:fill="FFFFFF"/>
            <w:vAlign w:val="center"/>
            <w:hideMark/>
          </w:tcPr>
          <w:p w:rsidR="00BF3D5A" w:rsidRPr="00BF3D5A" w:rsidRDefault="00BF3D5A" w:rsidP="00BF3D5A">
            <w:pPr>
              <w:spacing w:after="0" w:line="240" w:lineRule="auto"/>
              <w:rPr>
                <w:rFonts w:ascii="Arial" w:eastAsia="Times New Roman" w:hAnsi="Arial" w:cs="Arial"/>
                <w:sz w:val="19"/>
                <w:szCs w:val="19"/>
              </w:rPr>
            </w:pPr>
            <w:hyperlink r:id="rId7" w:history="1">
              <w:r w:rsidRPr="00BF3D5A">
                <w:rPr>
                  <w:rFonts w:ascii="Arial" w:eastAsia="Times New Roman" w:hAnsi="Arial" w:cs="Arial"/>
                  <w:color w:val="33664D"/>
                  <w:sz w:val="19"/>
                  <w:szCs w:val="19"/>
                  <w:u w:val="single"/>
                </w:rPr>
                <w:t>Open table in new window </w:t>
              </w:r>
              <w:r w:rsidRPr="00BF3D5A">
                <w:rPr>
                  <w:rFonts w:ascii="Arial" w:eastAsia="Times New Roman" w:hAnsi="Arial" w:cs="Arial"/>
                  <w:noProof/>
                  <w:color w:val="33664D"/>
                  <w:sz w:val="19"/>
                  <w:szCs w:val="19"/>
                </w:rPr>
                <w:drawing>
                  <wp:inline distT="0" distB="0" distL="0" distR="0" wp14:anchorId="3D148B5D" wp14:editId="583355A9">
                    <wp:extent cx="104775" cy="104775"/>
                    <wp:effectExtent l="0" t="0" r="9525" b="9525"/>
                    <wp:docPr id="2" name="Picture 2" descr="Open table in new wind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table in new wind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hyperlink>
          </w:p>
        </w:tc>
      </w:tr>
      <w:tr w:rsidR="00BF3D5A" w:rsidRPr="00BF3D5A" w:rsidTr="00BF3D5A">
        <w:trPr>
          <w:trHeight w:val="60"/>
          <w:tblCellSpacing w:w="0" w:type="dxa"/>
        </w:trPr>
        <w:tc>
          <w:tcPr>
            <w:tcW w:w="60" w:type="dxa"/>
            <w:shd w:val="clear" w:color="auto" w:fill="FFFFFF"/>
            <w:vAlign w:val="center"/>
            <w:hideMark/>
          </w:tcPr>
          <w:p w:rsidR="00BF3D5A" w:rsidRPr="00BF3D5A" w:rsidRDefault="00BF3D5A" w:rsidP="00BF3D5A">
            <w:pPr>
              <w:spacing w:after="0" w:line="60" w:lineRule="atLeast"/>
              <w:rPr>
                <w:rFonts w:ascii="Arial" w:eastAsia="Times New Roman" w:hAnsi="Arial" w:cs="Arial"/>
                <w:sz w:val="19"/>
                <w:szCs w:val="19"/>
              </w:rPr>
            </w:pPr>
            <w:r w:rsidRPr="00BF3D5A">
              <w:rPr>
                <w:rFonts w:ascii="Arial" w:eastAsia="Times New Roman" w:hAnsi="Arial" w:cs="Arial"/>
                <w:noProof/>
                <w:sz w:val="19"/>
                <w:szCs w:val="19"/>
              </w:rPr>
              <w:drawing>
                <wp:inline distT="0" distB="0" distL="0" distR="0" wp14:anchorId="39A92A02" wp14:editId="29BD5B88">
                  <wp:extent cx="9525" cy="9525"/>
                  <wp:effectExtent l="0" t="0" r="0" b="0"/>
                  <wp:docPr id="3" name="Picture 3"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rckmanuals.com/site_images/mm/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0320" w:type="dxa"/>
            <w:tcBorders>
              <w:top w:val="single" w:sz="6" w:space="0" w:color="CCCCCC"/>
            </w:tcBorders>
            <w:shd w:val="clear" w:color="auto" w:fill="FFFFFF"/>
            <w:vAlign w:val="center"/>
            <w:hideMark/>
          </w:tcPr>
          <w:p w:rsidR="00BF3D5A" w:rsidRPr="00BF3D5A" w:rsidRDefault="00BF3D5A" w:rsidP="00BF3D5A">
            <w:pPr>
              <w:spacing w:after="0" w:line="60" w:lineRule="atLeast"/>
              <w:rPr>
                <w:rFonts w:ascii="Arial" w:eastAsia="Times New Roman" w:hAnsi="Arial" w:cs="Arial"/>
                <w:sz w:val="19"/>
                <w:szCs w:val="19"/>
              </w:rPr>
            </w:pPr>
            <w:r w:rsidRPr="00BF3D5A">
              <w:rPr>
                <w:rFonts w:ascii="Arial" w:eastAsia="Times New Roman" w:hAnsi="Arial" w:cs="Arial"/>
                <w:noProof/>
                <w:sz w:val="19"/>
                <w:szCs w:val="19"/>
              </w:rPr>
              <w:drawing>
                <wp:inline distT="0" distB="0" distL="0" distR="0" wp14:anchorId="5711BABF" wp14:editId="5E360B26">
                  <wp:extent cx="9525" cy="9525"/>
                  <wp:effectExtent l="0" t="0" r="0" b="0"/>
                  <wp:docPr id="4" name="Picture 4"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rckmanuals.com/site_images/mm/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0" w:type="dxa"/>
            <w:shd w:val="clear" w:color="auto" w:fill="FFFFFF"/>
            <w:vAlign w:val="center"/>
            <w:hideMark/>
          </w:tcPr>
          <w:p w:rsidR="00BF3D5A" w:rsidRPr="00BF3D5A" w:rsidRDefault="00BF3D5A" w:rsidP="00BF3D5A">
            <w:pPr>
              <w:spacing w:after="0" w:line="60" w:lineRule="atLeast"/>
              <w:rPr>
                <w:rFonts w:ascii="Arial" w:eastAsia="Times New Roman" w:hAnsi="Arial" w:cs="Arial"/>
                <w:sz w:val="19"/>
                <w:szCs w:val="19"/>
              </w:rPr>
            </w:pPr>
            <w:r w:rsidRPr="00BF3D5A">
              <w:rPr>
                <w:rFonts w:ascii="Arial" w:eastAsia="Times New Roman" w:hAnsi="Arial" w:cs="Arial"/>
                <w:noProof/>
                <w:sz w:val="19"/>
                <w:szCs w:val="19"/>
              </w:rPr>
              <w:drawing>
                <wp:inline distT="0" distB="0" distL="0" distR="0" wp14:anchorId="488CC586" wp14:editId="5B827387">
                  <wp:extent cx="9525" cy="9525"/>
                  <wp:effectExtent l="0" t="0" r="0" b="0"/>
                  <wp:docPr id="5" name="Picture 5" descr="http://www.merckmanuals.com/site_images/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rckmanuals.com/site_images/mm/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F3D5A" w:rsidRPr="00BF3D5A" w:rsidTr="00BF3D5A">
        <w:trPr>
          <w:tblCellSpacing w:w="0" w:type="dxa"/>
        </w:trPr>
        <w:tc>
          <w:tcPr>
            <w:tcW w:w="0" w:type="auto"/>
            <w:gridSpan w:val="3"/>
            <w:tcBorders>
              <w:left w:val="single" w:sz="6" w:space="0" w:color="CCCCCC"/>
              <w:bottom w:val="single" w:sz="6" w:space="0" w:color="CCCCCC"/>
              <w:right w:val="single" w:sz="6" w:space="0" w:color="CCCCCC"/>
            </w:tcBorders>
            <w:shd w:val="clear" w:color="auto" w:fill="FFFFFF"/>
            <w:vAlign w:val="center"/>
            <w:hideMark/>
          </w:tcPr>
          <w:tbl>
            <w:tblPr>
              <w:tblW w:w="8490" w:type="dxa"/>
              <w:tblCellSpacing w:w="0" w:type="dxa"/>
              <w:tblCellMar>
                <w:left w:w="0" w:type="dxa"/>
                <w:right w:w="0" w:type="dxa"/>
              </w:tblCellMar>
              <w:tblLook w:val="04A0" w:firstRow="1" w:lastRow="0" w:firstColumn="1" w:lastColumn="0" w:noHBand="0" w:noVBand="1"/>
            </w:tblPr>
            <w:tblGrid>
              <w:gridCol w:w="355"/>
              <w:gridCol w:w="3583"/>
              <w:gridCol w:w="442"/>
              <w:gridCol w:w="412"/>
              <w:gridCol w:w="854"/>
              <w:gridCol w:w="574"/>
              <w:gridCol w:w="792"/>
              <w:gridCol w:w="1133"/>
              <w:gridCol w:w="1185"/>
            </w:tblGrid>
            <w:tr w:rsidR="00BF3D5A" w:rsidRPr="00BF3D5A" w:rsidTr="00BF3D5A">
              <w:trPr>
                <w:gridAfter w:val="6"/>
                <w:tblCellSpacing w:w="0" w:type="dxa"/>
              </w:trPr>
              <w:tc>
                <w:tcPr>
                  <w:tcW w:w="0" w:type="auto"/>
                  <w:gridSpan w:val="3"/>
                  <w:tcBorders>
                    <w:bottom w:val="dotted" w:sz="6" w:space="0" w:color="CCCCCC"/>
                  </w:tcBorders>
                  <w:tcMar>
                    <w:top w:w="0" w:type="dxa"/>
                    <w:left w:w="105" w:type="dxa"/>
                    <w:bottom w:w="0" w:type="dxa"/>
                    <w:right w:w="105" w:type="dxa"/>
                  </w:tcMar>
                  <w:vAlign w:val="center"/>
                  <w:hideMark/>
                </w:tcPr>
                <w:p w:rsidR="00BF3D5A" w:rsidRPr="00BF3D5A" w:rsidRDefault="00BF3D5A" w:rsidP="00BF3D5A">
                  <w:pPr>
                    <w:spacing w:after="0" w:line="240" w:lineRule="auto"/>
                    <w:rPr>
                      <w:rFonts w:ascii="Arial" w:eastAsia="Times New Roman" w:hAnsi="Arial" w:cs="Arial"/>
                      <w:b/>
                      <w:bCs/>
                      <w:color w:val="33664D"/>
                      <w:sz w:val="26"/>
                      <w:szCs w:val="26"/>
                    </w:rPr>
                  </w:pPr>
                  <w:r w:rsidRPr="00BF3D5A">
                    <w:rPr>
                      <w:rFonts w:ascii="Arial" w:eastAsia="Times New Roman" w:hAnsi="Arial" w:cs="Arial"/>
                      <w:b/>
                      <w:bCs/>
                      <w:color w:val="33664D"/>
                      <w:sz w:val="26"/>
                      <w:szCs w:val="26"/>
                    </w:rPr>
                    <w:t>Synthetic Colloids</w:t>
                  </w:r>
                </w:p>
              </w:tc>
            </w:tr>
            <w:tr w:rsidR="00BF3D5A" w:rsidRPr="00BF3D5A" w:rsidTr="00BF3D5A">
              <w:tblPrEx>
                <w:tblBorders>
                  <w:top w:val="single" w:sz="18" w:space="0" w:color="auto"/>
                  <w:bottom w:val="single" w:sz="18" w:space="0" w:color="auto"/>
                </w:tblBorders>
              </w:tblPrEx>
              <w:trPr>
                <w:tblCellSpacing w:w="0" w:type="dxa"/>
              </w:trPr>
              <w:tc>
                <w:tcPr>
                  <w:tcW w:w="0" w:type="auto"/>
                  <w:gridSpan w:val="2"/>
                  <w:tcBorders>
                    <w:right w:val="single" w:sz="12" w:space="0" w:color="FFFFFF"/>
                  </w:tcBorders>
                  <w:tcMar>
                    <w:top w:w="45" w:type="dxa"/>
                    <w:left w:w="45" w:type="dxa"/>
                    <w:bottom w:w="45" w:type="dxa"/>
                    <w:right w:w="45" w:type="dxa"/>
                  </w:tcMar>
                  <w:hideMark/>
                </w:tcPr>
                <w:p w:rsidR="00BF3D5A" w:rsidRPr="00BF3D5A" w:rsidRDefault="00BF3D5A" w:rsidP="00BF3D5A">
                  <w:pPr>
                    <w:spacing w:after="0" w:line="300" w:lineRule="atLeast"/>
                    <w:jc w:val="center"/>
                    <w:rPr>
                      <w:rFonts w:ascii="Helvetica" w:eastAsia="Times New Roman" w:hAnsi="Helvetica" w:cs="Times New Roman"/>
                      <w:b/>
                      <w:bCs/>
                      <w:color w:val="494949"/>
                      <w:sz w:val="21"/>
                      <w:szCs w:val="21"/>
                    </w:rPr>
                  </w:pPr>
                  <w:r w:rsidRPr="00BF3D5A">
                    <w:rPr>
                      <w:rFonts w:ascii="Helvetica" w:eastAsia="Times New Roman" w:hAnsi="Helvetica" w:cs="Times New Roman"/>
                      <w:b/>
                      <w:bCs/>
                      <w:color w:val="494949"/>
                      <w:sz w:val="21"/>
                      <w:szCs w:val="21"/>
                    </w:rPr>
                    <w:t>Colloid_____________________________________</w:t>
                  </w:r>
                </w:p>
              </w:tc>
              <w:tc>
                <w:tcPr>
                  <w:tcW w:w="0" w:type="auto"/>
                  <w:gridSpan w:val="2"/>
                  <w:vMerge w:val="restart"/>
                  <w:tcBorders>
                    <w:right w:val="single" w:sz="12" w:space="0" w:color="FFFFFF"/>
                  </w:tcBorders>
                  <w:tcMar>
                    <w:top w:w="45" w:type="dxa"/>
                    <w:left w:w="45" w:type="dxa"/>
                    <w:bottom w:w="45" w:type="dxa"/>
                    <w:right w:w="45" w:type="dxa"/>
                  </w:tcMar>
                  <w:hideMark/>
                </w:tcPr>
                <w:p w:rsidR="00BF3D5A" w:rsidRPr="00BF3D5A" w:rsidRDefault="00BF3D5A" w:rsidP="00BF3D5A">
                  <w:pPr>
                    <w:spacing w:after="0" w:line="300" w:lineRule="atLeast"/>
                    <w:rPr>
                      <w:rFonts w:ascii="Helvetica" w:eastAsia="Times New Roman" w:hAnsi="Helvetica" w:cs="Times New Roman"/>
                      <w:b/>
                      <w:bCs/>
                      <w:color w:val="494949"/>
                      <w:sz w:val="21"/>
                      <w:szCs w:val="21"/>
                    </w:rPr>
                  </w:pPr>
                  <w:r w:rsidRPr="00BF3D5A">
                    <w:rPr>
                      <w:rFonts w:ascii="Helvetica" w:eastAsia="Times New Roman" w:hAnsi="Helvetica" w:cs="Times New Roman"/>
                      <w:b/>
                      <w:bCs/>
                      <w:color w:val="494949"/>
                      <w:sz w:val="21"/>
                      <w:szCs w:val="21"/>
                    </w:rPr>
                    <w:t xml:space="preserve">Average Molecular </w:t>
                  </w:r>
                  <w:r w:rsidRPr="00BF3D5A">
                    <w:rPr>
                      <w:rFonts w:ascii="Helvetica" w:eastAsia="Times New Roman" w:hAnsi="Helvetica" w:cs="Times New Roman"/>
                      <w:b/>
                      <w:bCs/>
                      <w:color w:val="494949"/>
                      <w:sz w:val="21"/>
                      <w:szCs w:val="21"/>
                    </w:rPr>
                    <w:lastRenderedPageBreak/>
                    <w:t>Weight (</w:t>
                  </w:r>
                  <w:proofErr w:type="spellStart"/>
                  <w:r w:rsidRPr="00BF3D5A">
                    <w:rPr>
                      <w:rFonts w:ascii="Helvetica" w:eastAsia="Times New Roman" w:hAnsi="Helvetica" w:cs="Times New Roman"/>
                      <w:b/>
                      <w:bCs/>
                      <w:color w:val="494949"/>
                      <w:sz w:val="21"/>
                      <w:szCs w:val="21"/>
                    </w:rPr>
                    <w:t>daltons</w:t>
                  </w:r>
                  <w:proofErr w:type="spellEnd"/>
                  <w:r w:rsidRPr="00BF3D5A">
                    <w:rPr>
                      <w:rFonts w:ascii="Helvetica" w:eastAsia="Times New Roman" w:hAnsi="Helvetica" w:cs="Times New Roman"/>
                      <w:b/>
                      <w:bCs/>
                      <w:color w:val="494949"/>
                      <w:sz w:val="21"/>
                      <w:szCs w:val="21"/>
                    </w:rPr>
                    <w:t>)</w:t>
                  </w:r>
                </w:p>
              </w:tc>
              <w:tc>
                <w:tcPr>
                  <w:tcW w:w="0" w:type="auto"/>
                  <w:vMerge w:val="restart"/>
                  <w:tcBorders>
                    <w:right w:val="single" w:sz="12" w:space="0" w:color="FFFFFF"/>
                  </w:tcBorders>
                  <w:tcMar>
                    <w:top w:w="45" w:type="dxa"/>
                    <w:left w:w="45" w:type="dxa"/>
                    <w:bottom w:w="45" w:type="dxa"/>
                    <w:right w:w="45" w:type="dxa"/>
                  </w:tcMar>
                  <w:hideMark/>
                </w:tcPr>
                <w:p w:rsidR="00BF3D5A" w:rsidRPr="00BF3D5A" w:rsidRDefault="00BF3D5A" w:rsidP="00BF3D5A">
                  <w:pPr>
                    <w:spacing w:after="0" w:line="300" w:lineRule="atLeast"/>
                    <w:rPr>
                      <w:rFonts w:ascii="Helvetica" w:eastAsia="Times New Roman" w:hAnsi="Helvetica" w:cs="Times New Roman"/>
                      <w:b/>
                      <w:bCs/>
                      <w:color w:val="494949"/>
                      <w:sz w:val="21"/>
                      <w:szCs w:val="21"/>
                    </w:rPr>
                  </w:pPr>
                  <w:r w:rsidRPr="00BF3D5A">
                    <w:rPr>
                      <w:rFonts w:ascii="Helvetica" w:eastAsia="Times New Roman" w:hAnsi="Helvetica" w:cs="Times New Roman"/>
                      <w:b/>
                      <w:bCs/>
                      <w:color w:val="494949"/>
                      <w:sz w:val="21"/>
                      <w:szCs w:val="21"/>
                    </w:rPr>
                    <w:lastRenderedPageBreak/>
                    <w:t xml:space="preserve">Molecular Weight Range </w:t>
                  </w:r>
                  <w:r w:rsidRPr="00BF3D5A">
                    <w:rPr>
                      <w:rFonts w:ascii="Helvetica" w:eastAsia="Times New Roman" w:hAnsi="Helvetica" w:cs="Times New Roman"/>
                      <w:b/>
                      <w:bCs/>
                      <w:color w:val="494949"/>
                      <w:sz w:val="21"/>
                      <w:szCs w:val="21"/>
                    </w:rPr>
                    <w:lastRenderedPageBreak/>
                    <w:t>(</w:t>
                  </w:r>
                  <w:proofErr w:type="spellStart"/>
                  <w:r w:rsidRPr="00BF3D5A">
                    <w:rPr>
                      <w:rFonts w:ascii="Helvetica" w:eastAsia="Times New Roman" w:hAnsi="Helvetica" w:cs="Times New Roman"/>
                      <w:b/>
                      <w:bCs/>
                      <w:color w:val="494949"/>
                      <w:sz w:val="21"/>
                      <w:szCs w:val="21"/>
                    </w:rPr>
                    <w:t>daltons</w:t>
                  </w:r>
                  <w:proofErr w:type="spellEnd"/>
                  <w:r w:rsidRPr="00BF3D5A">
                    <w:rPr>
                      <w:rFonts w:ascii="Helvetica" w:eastAsia="Times New Roman" w:hAnsi="Helvetica" w:cs="Times New Roman"/>
                      <w:b/>
                      <w:bCs/>
                      <w:color w:val="494949"/>
                      <w:sz w:val="21"/>
                      <w:szCs w:val="21"/>
                    </w:rPr>
                    <w:t>)</w:t>
                  </w:r>
                </w:p>
              </w:tc>
              <w:tc>
                <w:tcPr>
                  <w:tcW w:w="0" w:type="auto"/>
                  <w:vMerge w:val="restart"/>
                  <w:tcBorders>
                    <w:right w:val="single" w:sz="12" w:space="0" w:color="FFFFFF"/>
                  </w:tcBorders>
                  <w:tcMar>
                    <w:top w:w="45" w:type="dxa"/>
                    <w:left w:w="45" w:type="dxa"/>
                    <w:bottom w:w="45" w:type="dxa"/>
                    <w:right w:w="45" w:type="dxa"/>
                  </w:tcMar>
                  <w:hideMark/>
                </w:tcPr>
                <w:p w:rsidR="00BF3D5A" w:rsidRPr="00BF3D5A" w:rsidRDefault="00BF3D5A" w:rsidP="00BF3D5A">
                  <w:pPr>
                    <w:spacing w:after="0" w:line="300" w:lineRule="atLeast"/>
                    <w:rPr>
                      <w:rFonts w:ascii="Helvetica" w:eastAsia="Times New Roman" w:hAnsi="Helvetica" w:cs="Times New Roman"/>
                      <w:b/>
                      <w:bCs/>
                      <w:color w:val="494949"/>
                      <w:sz w:val="21"/>
                      <w:szCs w:val="21"/>
                    </w:rPr>
                  </w:pPr>
                  <w:r w:rsidRPr="00BF3D5A">
                    <w:rPr>
                      <w:rFonts w:ascii="Helvetica" w:eastAsia="Times New Roman" w:hAnsi="Helvetica" w:cs="Times New Roman"/>
                      <w:b/>
                      <w:bCs/>
                      <w:color w:val="494949"/>
                      <w:sz w:val="21"/>
                      <w:szCs w:val="21"/>
                    </w:rPr>
                    <w:lastRenderedPageBreak/>
                    <w:t>C2:C6 Ratio</w:t>
                  </w:r>
                </w:p>
              </w:tc>
              <w:tc>
                <w:tcPr>
                  <w:tcW w:w="0" w:type="auto"/>
                  <w:vMerge w:val="restart"/>
                  <w:tcBorders>
                    <w:right w:val="single" w:sz="12" w:space="0" w:color="FFFFFF"/>
                  </w:tcBorders>
                  <w:tcMar>
                    <w:top w:w="45" w:type="dxa"/>
                    <w:left w:w="45" w:type="dxa"/>
                    <w:bottom w:w="45" w:type="dxa"/>
                    <w:right w:w="45" w:type="dxa"/>
                  </w:tcMar>
                  <w:hideMark/>
                </w:tcPr>
                <w:p w:rsidR="00BF3D5A" w:rsidRPr="00BF3D5A" w:rsidRDefault="00BF3D5A" w:rsidP="00BF3D5A">
                  <w:pPr>
                    <w:spacing w:after="0" w:line="300" w:lineRule="atLeast"/>
                    <w:rPr>
                      <w:rFonts w:ascii="Helvetica" w:eastAsia="Times New Roman" w:hAnsi="Helvetica" w:cs="Times New Roman"/>
                      <w:b/>
                      <w:bCs/>
                      <w:color w:val="494949"/>
                      <w:sz w:val="21"/>
                      <w:szCs w:val="21"/>
                    </w:rPr>
                  </w:pPr>
                  <w:r w:rsidRPr="00BF3D5A">
                    <w:rPr>
                      <w:rFonts w:ascii="Helvetica" w:eastAsia="Times New Roman" w:hAnsi="Helvetica" w:cs="Times New Roman"/>
                      <w:b/>
                      <w:bCs/>
                      <w:color w:val="494949"/>
                      <w:sz w:val="21"/>
                      <w:szCs w:val="21"/>
                    </w:rPr>
                    <w:t xml:space="preserve">Colloid Oncotic </w:t>
                  </w:r>
                  <w:r w:rsidRPr="00BF3D5A">
                    <w:rPr>
                      <w:rFonts w:ascii="Helvetica" w:eastAsia="Times New Roman" w:hAnsi="Helvetica" w:cs="Times New Roman"/>
                      <w:b/>
                      <w:bCs/>
                      <w:color w:val="494949"/>
                      <w:sz w:val="21"/>
                      <w:szCs w:val="21"/>
                    </w:rPr>
                    <w:lastRenderedPageBreak/>
                    <w:t>Pressure (mmHg)</w:t>
                  </w:r>
                </w:p>
              </w:tc>
              <w:tc>
                <w:tcPr>
                  <w:tcW w:w="0" w:type="auto"/>
                  <w:vMerge w:val="restart"/>
                  <w:tcBorders>
                    <w:right w:val="single" w:sz="12" w:space="0" w:color="FFFFFF"/>
                  </w:tcBorders>
                  <w:tcMar>
                    <w:top w:w="45" w:type="dxa"/>
                    <w:left w:w="45" w:type="dxa"/>
                    <w:bottom w:w="45" w:type="dxa"/>
                    <w:right w:w="45" w:type="dxa"/>
                  </w:tcMar>
                  <w:hideMark/>
                </w:tcPr>
                <w:p w:rsidR="00BF3D5A" w:rsidRPr="00BF3D5A" w:rsidRDefault="00BF3D5A" w:rsidP="00BF3D5A">
                  <w:pPr>
                    <w:spacing w:after="0" w:line="300" w:lineRule="atLeast"/>
                    <w:rPr>
                      <w:rFonts w:ascii="Helvetica" w:eastAsia="Times New Roman" w:hAnsi="Helvetica" w:cs="Times New Roman"/>
                      <w:b/>
                      <w:bCs/>
                      <w:color w:val="494949"/>
                      <w:sz w:val="21"/>
                      <w:szCs w:val="21"/>
                    </w:rPr>
                  </w:pPr>
                  <w:r w:rsidRPr="00BF3D5A">
                    <w:rPr>
                      <w:rFonts w:ascii="Helvetica" w:eastAsia="Times New Roman" w:hAnsi="Helvetica" w:cs="Times New Roman"/>
                      <w:b/>
                      <w:bCs/>
                      <w:color w:val="494949"/>
                      <w:sz w:val="21"/>
                      <w:szCs w:val="21"/>
                    </w:rPr>
                    <w:lastRenderedPageBreak/>
                    <w:t>Suggested Upper Limit (dose/kg/</w:t>
                  </w:r>
                  <w:r w:rsidRPr="00BF3D5A">
                    <w:rPr>
                      <w:rFonts w:ascii="Helvetica" w:eastAsia="Times New Roman" w:hAnsi="Helvetica" w:cs="Times New Roman"/>
                      <w:b/>
                      <w:bCs/>
                      <w:color w:val="494949"/>
                      <w:sz w:val="21"/>
                      <w:szCs w:val="21"/>
                    </w:rPr>
                    <w:lastRenderedPageBreak/>
                    <w:t>day)</w:t>
                  </w:r>
                </w:p>
              </w:tc>
              <w:tc>
                <w:tcPr>
                  <w:tcW w:w="0" w:type="auto"/>
                  <w:vMerge w:val="restart"/>
                  <w:tcBorders>
                    <w:right w:val="single" w:sz="12" w:space="0" w:color="FFFFFF"/>
                  </w:tcBorders>
                  <w:tcMar>
                    <w:top w:w="45" w:type="dxa"/>
                    <w:left w:w="45" w:type="dxa"/>
                    <w:bottom w:w="45" w:type="dxa"/>
                    <w:right w:w="45" w:type="dxa"/>
                  </w:tcMar>
                  <w:hideMark/>
                </w:tcPr>
                <w:p w:rsidR="00BF3D5A" w:rsidRPr="00BF3D5A" w:rsidRDefault="00BF3D5A" w:rsidP="00BF3D5A">
                  <w:pPr>
                    <w:spacing w:after="0" w:line="300" w:lineRule="atLeast"/>
                    <w:rPr>
                      <w:rFonts w:ascii="Helvetica" w:eastAsia="Times New Roman" w:hAnsi="Helvetica" w:cs="Times New Roman"/>
                      <w:b/>
                      <w:bCs/>
                      <w:color w:val="494949"/>
                      <w:sz w:val="21"/>
                      <w:szCs w:val="21"/>
                    </w:rPr>
                  </w:pPr>
                  <w:r w:rsidRPr="00BF3D5A">
                    <w:rPr>
                      <w:rFonts w:ascii="Helvetica" w:eastAsia="Times New Roman" w:hAnsi="Helvetica" w:cs="Times New Roman"/>
                      <w:b/>
                      <w:bCs/>
                      <w:color w:val="494949"/>
                      <w:sz w:val="21"/>
                      <w:szCs w:val="21"/>
                    </w:rPr>
                    <w:lastRenderedPageBreak/>
                    <w:t>Concentration (%)</w:t>
                  </w:r>
                </w:p>
              </w:tc>
            </w:tr>
            <w:tr w:rsidR="00BF3D5A" w:rsidRPr="00BF3D5A" w:rsidTr="00BF3D5A">
              <w:tblPrEx>
                <w:tblBorders>
                  <w:top w:val="single" w:sz="18" w:space="0" w:color="auto"/>
                  <w:bottom w:val="single" w:sz="18" w:space="0" w:color="auto"/>
                </w:tblBorders>
              </w:tblPrEx>
              <w:trPr>
                <w:tblCellSpacing w:w="0" w:type="dxa"/>
              </w:trPr>
              <w:tc>
                <w:tcPr>
                  <w:tcW w:w="0" w:type="auto"/>
                  <w:tcBorders>
                    <w:right w:val="single" w:sz="12" w:space="0" w:color="FFFFFF"/>
                  </w:tcBorders>
                  <w:tcMar>
                    <w:top w:w="45" w:type="dxa"/>
                    <w:left w:w="45" w:type="dxa"/>
                    <w:bottom w:w="45" w:type="dxa"/>
                    <w:right w:w="45" w:type="dxa"/>
                  </w:tcMar>
                  <w:hideMark/>
                </w:tcPr>
                <w:p w:rsidR="00BF3D5A" w:rsidRPr="00BF3D5A" w:rsidRDefault="00BF3D5A" w:rsidP="00BF3D5A">
                  <w:pPr>
                    <w:spacing w:after="0" w:line="240" w:lineRule="auto"/>
                    <w:rPr>
                      <w:rFonts w:ascii="Verdana" w:eastAsia="Times New Roman" w:hAnsi="Verdana" w:cs="Times New Roman"/>
                      <w:color w:val="666666"/>
                      <w:sz w:val="15"/>
                      <w:szCs w:val="15"/>
                    </w:rPr>
                  </w:pPr>
                </w:p>
              </w:tc>
              <w:tc>
                <w:tcPr>
                  <w:tcW w:w="0" w:type="auto"/>
                  <w:tcBorders>
                    <w:right w:val="single" w:sz="12" w:space="0" w:color="FFFFFF"/>
                  </w:tcBorders>
                  <w:tcMar>
                    <w:top w:w="45" w:type="dxa"/>
                    <w:left w:w="45" w:type="dxa"/>
                    <w:bottom w:w="45" w:type="dxa"/>
                    <w:right w:w="45" w:type="dxa"/>
                  </w:tcMar>
                  <w:hideMark/>
                </w:tcPr>
                <w:p w:rsidR="00BF3D5A" w:rsidRPr="00BF3D5A" w:rsidRDefault="00BF3D5A" w:rsidP="00BF3D5A">
                  <w:pPr>
                    <w:spacing w:after="0" w:line="300" w:lineRule="atLeast"/>
                    <w:jc w:val="center"/>
                    <w:rPr>
                      <w:rFonts w:ascii="Helvetica" w:eastAsia="Times New Roman" w:hAnsi="Helvetica" w:cs="Times New Roman"/>
                      <w:b/>
                      <w:bCs/>
                      <w:color w:val="494949"/>
                      <w:sz w:val="21"/>
                      <w:szCs w:val="21"/>
                    </w:rPr>
                  </w:pPr>
                  <w:r w:rsidRPr="00BF3D5A">
                    <w:rPr>
                      <w:rFonts w:ascii="Helvetica" w:eastAsia="Times New Roman" w:hAnsi="Helvetica" w:cs="Times New Roman"/>
                      <w:b/>
                      <w:bCs/>
                      <w:color w:val="494949"/>
                      <w:sz w:val="21"/>
                      <w:szCs w:val="21"/>
                    </w:rPr>
                    <w:t>In solution with</w:t>
                  </w:r>
                </w:p>
              </w:tc>
              <w:tc>
                <w:tcPr>
                  <w:tcW w:w="0" w:type="auto"/>
                  <w:gridSpan w:val="2"/>
                  <w:vMerge/>
                  <w:tcBorders>
                    <w:right w:val="single" w:sz="12" w:space="0" w:color="FFFFFF"/>
                  </w:tcBorders>
                  <w:vAlign w:val="center"/>
                  <w:hideMark/>
                </w:tcPr>
                <w:p w:rsidR="00BF3D5A" w:rsidRPr="00BF3D5A" w:rsidRDefault="00BF3D5A" w:rsidP="00BF3D5A">
                  <w:pPr>
                    <w:spacing w:after="0" w:line="240" w:lineRule="auto"/>
                    <w:rPr>
                      <w:rFonts w:ascii="Helvetica" w:eastAsia="Times New Roman" w:hAnsi="Helvetica" w:cs="Times New Roman"/>
                      <w:b/>
                      <w:bCs/>
                      <w:color w:val="494949"/>
                      <w:sz w:val="21"/>
                      <w:szCs w:val="21"/>
                    </w:rPr>
                  </w:pPr>
                </w:p>
              </w:tc>
              <w:tc>
                <w:tcPr>
                  <w:tcW w:w="0" w:type="auto"/>
                  <w:vMerge/>
                  <w:tcBorders>
                    <w:right w:val="single" w:sz="12" w:space="0" w:color="FFFFFF"/>
                  </w:tcBorders>
                  <w:vAlign w:val="center"/>
                  <w:hideMark/>
                </w:tcPr>
                <w:p w:rsidR="00BF3D5A" w:rsidRPr="00BF3D5A" w:rsidRDefault="00BF3D5A" w:rsidP="00BF3D5A">
                  <w:pPr>
                    <w:spacing w:after="0" w:line="240" w:lineRule="auto"/>
                    <w:rPr>
                      <w:rFonts w:ascii="Helvetica" w:eastAsia="Times New Roman" w:hAnsi="Helvetica" w:cs="Times New Roman"/>
                      <w:b/>
                      <w:bCs/>
                      <w:color w:val="494949"/>
                      <w:sz w:val="21"/>
                      <w:szCs w:val="21"/>
                    </w:rPr>
                  </w:pPr>
                </w:p>
              </w:tc>
              <w:tc>
                <w:tcPr>
                  <w:tcW w:w="0" w:type="auto"/>
                  <w:vMerge/>
                  <w:tcBorders>
                    <w:right w:val="single" w:sz="12" w:space="0" w:color="FFFFFF"/>
                  </w:tcBorders>
                  <w:vAlign w:val="center"/>
                  <w:hideMark/>
                </w:tcPr>
                <w:p w:rsidR="00BF3D5A" w:rsidRPr="00BF3D5A" w:rsidRDefault="00BF3D5A" w:rsidP="00BF3D5A">
                  <w:pPr>
                    <w:spacing w:after="0" w:line="240" w:lineRule="auto"/>
                    <w:rPr>
                      <w:rFonts w:ascii="Helvetica" w:eastAsia="Times New Roman" w:hAnsi="Helvetica" w:cs="Times New Roman"/>
                      <w:b/>
                      <w:bCs/>
                      <w:color w:val="494949"/>
                      <w:sz w:val="21"/>
                      <w:szCs w:val="21"/>
                    </w:rPr>
                  </w:pPr>
                </w:p>
              </w:tc>
              <w:tc>
                <w:tcPr>
                  <w:tcW w:w="0" w:type="auto"/>
                  <w:vMerge/>
                  <w:tcBorders>
                    <w:right w:val="single" w:sz="12" w:space="0" w:color="FFFFFF"/>
                  </w:tcBorders>
                  <w:vAlign w:val="center"/>
                  <w:hideMark/>
                </w:tcPr>
                <w:p w:rsidR="00BF3D5A" w:rsidRPr="00BF3D5A" w:rsidRDefault="00BF3D5A" w:rsidP="00BF3D5A">
                  <w:pPr>
                    <w:spacing w:after="0" w:line="240" w:lineRule="auto"/>
                    <w:rPr>
                      <w:rFonts w:ascii="Helvetica" w:eastAsia="Times New Roman" w:hAnsi="Helvetica" w:cs="Times New Roman"/>
                      <w:b/>
                      <w:bCs/>
                      <w:color w:val="494949"/>
                      <w:sz w:val="21"/>
                      <w:szCs w:val="21"/>
                    </w:rPr>
                  </w:pPr>
                </w:p>
              </w:tc>
              <w:tc>
                <w:tcPr>
                  <w:tcW w:w="0" w:type="auto"/>
                  <w:vMerge/>
                  <w:tcBorders>
                    <w:right w:val="single" w:sz="12" w:space="0" w:color="FFFFFF"/>
                  </w:tcBorders>
                  <w:vAlign w:val="center"/>
                  <w:hideMark/>
                </w:tcPr>
                <w:p w:rsidR="00BF3D5A" w:rsidRPr="00BF3D5A" w:rsidRDefault="00BF3D5A" w:rsidP="00BF3D5A">
                  <w:pPr>
                    <w:spacing w:after="0" w:line="240" w:lineRule="auto"/>
                    <w:rPr>
                      <w:rFonts w:ascii="Helvetica" w:eastAsia="Times New Roman" w:hAnsi="Helvetica" w:cs="Times New Roman"/>
                      <w:b/>
                      <w:bCs/>
                      <w:color w:val="494949"/>
                      <w:sz w:val="21"/>
                      <w:szCs w:val="21"/>
                    </w:rPr>
                  </w:pPr>
                </w:p>
              </w:tc>
              <w:tc>
                <w:tcPr>
                  <w:tcW w:w="0" w:type="auto"/>
                  <w:vMerge/>
                  <w:tcBorders>
                    <w:right w:val="single" w:sz="12" w:space="0" w:color="FFFFFF"/>
                  </w:tcBorders>
                  <w:vAlign w:val="center"/>
                  <w:hideMark/>
                </w:tcPr>
                <w:p w:rsidR="00BF3D5A" w:rsidRPr="00BF3D5A" w:rsidRDefault="00BF3D5A" w:rsidP="00BF3D5A">
                  <w:pPr>
                    <w:spacing w:after="0" w:line="240" w:lineRule="auto"/>
                    <w:rPr>
                      <w:rFonts w:ascii="Helvetica" w:eastAsia="Times New Roman" w:hAnsi="Helvetica" w:cs="Times New Roman"/>
                      <w:b/>
                      <w:bCs/>
                      <w:color w:val="494949"/>
                      <w:sz w:val="21"/>
                      <w:szCs w:val="21"/>
                    </w:rPr>
                  </w:pPr>
                </w:p>
              </w:tc>
            </w:tr>
          </w:tbl>
          <w:p w:rsidR="00BF3D5A" w:rsidRPr="00BF3D5A" w:rsidRDefault="00BF3D5A" w:rsidP="00BF3D5A">
            <w:pPr>
              <w:spacing w:after="0" w:line="240" w:lineRule="auto"/>
              <w:rPr>
                <w:rFonts w:ascii="Arial" w:eastAsia="Times New Roman" w:hAnsi="Arial" w:cs="Arial"/>
                <w:vanish/>
                <w:sz w:val="19"/>
                <w:szCs w:val="19"/>
              </w:rPr>
            </w:pPr>
          </w:p>
          <w:tbl>
            <w:tblPr>
              <w:tblW w:w="21600" w:type="dxa"/>
              <w:tblCellSpacing w:w="0" w:type="dxa"/>
              <w:tblCellMar>
                <w:left w:w="0" w:type="dxa"/>
                <w:right w:w="0" w:type="dxa"/>
              </w:tblCellMar>
              <w:tblLook w:val="04A0" w:firstRow="1" w:lastRow="0" w:firstColumn="1" w:lastColumn="0" w:noHBand="0" w:noVBand="1"/>
            </w:tblPr>
            <w:tblGrid>
              <w:gridCol w:w="5728"/>
              <w:gridCol w:w="5271"/>
              <w:gridCol w:w="2662"/>
              <w:gridCol w:w="3899"/>
              <w:gridCol w:w="751"/>
              <w:gridCol w:w="1133"/>
              <w:gridCol w:w="1496"/>
              <w:gridCol w:w="660"/>
            </w:tblGrid>
            <w:tr w:rsidR="00BF3D5A" w:rsidRPr="00BF3D5A" w:rsidTr="00BF3D5A">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Dextran 70</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 xml:space="preserve">0.9% </w:t>
                  </w:r>
                  <w:proofErr w:type="spellStart"/>
                  <w:r w:rsidRPr="00BF3D5A">
                    <w:rPr>
                      <w:rFonts w:ascii="Arial" w:eastAsia="Times New Roman" w:hAnsi="Arial" w:cs="Arial"/>
                      <w:color w:val="666666"/>
                      <w:sz w:val="20"/>
                      <w:szCs w:val="20"/>
                    </w:rPr>
                    <w:t>NaCl</w:t>
                  </w:r>
                  <w:proofErr w:type="spellEnd"/>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70,000</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10,000–80,000</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NA</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59</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20 mL</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6</w:t>
                  </w:r>
                </w:p>
              </w:tc>
            </w:tr>
            <w:tr w:rsidR="00BF3D5A" w:rsidRPr="00BF3D5A" w:rsidTr="00BF3D5A">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proofErr w:type="spellStart"/>
                  <w:r w:rsidRPr="00BF3D5A">
                    <w:rPr>
                      <w:rFonts w:ascii="Arial" w:eastAsia="Times New Roman" w:hAnsi="Arial" w:cs="Arial"/>
                      <w:color w:val="666666"/>
                      <w:sz w:val="20"/>
                      <w:szCs w:val="20"/>
                    </w:rPr>
                    <w:t>Hextend</w:t>
                  </w:r>
                  <w:r w:rsidRPr="00BF3D5A">
                    <w:rPr>
                      <w:rFonts w:ascii="Arial" w:eastAsia="Times New Roman" w:hAnsi="Arial" w:cs="Arial"/>
                      <w:color w:val="666666"/>
                      <w:sz w:val="20"/>
                      <w:szCs w:val="20"/>
                      <w:vertAlign w:val="superscript"/>
                    </w:rPr>
                    <w:t>TM</w:t>
                  </w:r>
                  <w:proofErr w:type="spellEnd"/>
                </w:p>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(670/0.7)</w:t>
                  </w:r>
                </w:p>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x</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Lactated electrolyte solution</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670,000</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20,000–2,500,000 (80%)</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5:1</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25-30</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20 mL</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6</w:t>
                  </w:r>
                </w:p>
              </w:tc>
            </w:tr>
            <w:tr w:rsidR="00BF3D5A" w:rsidRPr="00BF3D5A" w:rsidTr="00BF3D5A">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proofErr w:type="spellStart"/>
                  <w:r w:rsidRPr="00BF3D5A">
                    <w:rPr>
                      <w:rFonts w:ascii="Arial" w:eastAsia="Times New Roman" w:hAnsi="Arial" w:cs="Arial"/>
                      <w:color w:val="666666"/>
                      <w:sz w:val="20"/>
                      <w:szCs w:val="20"/>
                    </w:rPr>
                    <w:t>VetStarch</w:t>
                  </w:r>
                  <w:r w:rsidRPr="00BF3D5A">
                    <w:rPr>
                      <w:rFonts w:ascii="Arial" w:eastAsia="Times New Roman" w:hAnsi="Arial" w:cs="Arial"/>
                      <w:color w:val="666666"/>
                      <w:sz w:val="20"/>
                      <w:szCs w:val="20"/>
                      <w:vertAlign w:val="superscript"/>
                    </w:rPr>
                    <w:t>TM</w:t>
                  </w:r>
                  <w:proofErr w:type="spellEnd"/>
                  <w:r w:rsidRPr="00BF3D5A">
                    <w:rPr>
                      <w:rFonts w:ascii="Arial" w:eastAsia="Times New Roman" w:hAnsi="Arial" w:cs="Arial"/>
                      <w:color w:val="666666"/>
                      <w:sz w:val="20"/>
                      <w:szCs w:val="20"/>
                    </w:rPr>
                    <w:t>/</w:t>
                  </w:r>
                  <w:proofErr w:type="spellStart"/>
                  <w:r w:rsidRPr="00BF3D5A">
                    <w:rPr>
                      <w:rFonts w:ascii="Arial" w:eastAsia="Times New Roman" w:hAnsi="Arial" w:cs="Arial"/>
                      <w:color w:val="666666"/>
                      <w:sz w:val="20"/>
                      <w:szCs w:val="20"/>
                    </w:rPr>
                    <w:t>Voluven</w:t>
                  </w:r>
                  <w:r w:rsidRPr="00BF3D5A">
                    <w:rPr>
                      <w:rFonts w:ascii="Arial" w:eastAsia="Times New Roman" w:hAnsi="Arial" w:cs="Arial"/>
                      <w:color w:val="666666"/>
                      <w:sz w:val="20"/>
                      <w:szCs w:val="20"/>
                      <w:vertAlign w:val="superscript"/>
                    </w:rPr>
                    <w:t>TM</w:t>
                  </w:r>
                  <w:proofErr w:type="spellEnd"/>
                </w:p>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(130/0.4)</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0.9% saline</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130,000</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110–150,000</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9:1</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36</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50 mL</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6</w:t>
                  </w:r>
                </w:p>
              </w:tc>
            </w:tr>
            <w:tr w:rsidR="00BF3D5A" w:rsidRPr="00BF3D5A" w:rsidTr="00BF3D5A">
              <w:trPr>
                <w:tblCellSpacing w:w="0" w:type="dxa"/>
              </w:trPr>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HESPAN</w:t>
                  </w:r>
                  <w:r w:rsidRPr="00BF3D5A">
                    <w:rPr>
                      <w:rFonts w:ascii="Arial" w:eastAsia="Times New Roman" w:hAnsi="Arial" w:cs="Arial"/>
                      <w:color w:val="666666"/>
                      <w:sz w:val="20"/>
                      <w:szCs w:val="20"/>
                      <w:vertAlign w:val="superscript"/>
                    </w:rPr>
                    <w:t>®</w:t>
                  </w:r>
                </w:p>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(600/0.4)</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0.9% saline</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600,000</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450–800,000</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5:1</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25-30</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20 mL</w:t>
                  </w:r>
                </w:p>
              </w:tc>
              <w:tc>
                <w:tcPr>
                  <w:tcW w:w="0" w:type="auto"/>
                  <w:tcBorders>
                    <w:right w:val="single" w:sz="12" w:space="0" w:color="FFFFFF"/>
                  </w:tcBorders>
                  <w:shd w:val="clear" w:color="auto" w:fill="EEEEEE"/>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6</w:t>
                  </w:r>
                </w:p>
              </w:tc>
            </w:tr>
            <w:tr w:rsidR="00BF3D5A" w:rsidRPr="00BF3D5A" w:rsidTr="00BF3D5A">
              <w:trPr>
                <w:tblCellSpacing w:w="0" w:type="dxa"/>
              </w:trPr>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proofErr w:type="spellStart"/>
                  <w:r w:rsidRPr="00BF3D5A">
                    <w:rPr>
                      <w:rFonts w:ascii="Arial" w:eastAsia="Times New Roman" w:hAnsi="Arial" w:cs="Arial"/>
                      <w:color w:val="666666"/>
                      <w:sz w:val="20"/>
                      <w:szCs w:val="20"/>
                    </w:rPr>
                    <w:t>Stroma</w:t>
                  </w:r>
                  <w:proofErr w:type="spellEnd"/>
                  <w:r w:rsidRPr="00BF3D5A">
                    <w:rPr>
                      <w:rFonts w:ascii="Arial" w:eastAsia="Times New Roman" w:hAnsi="Arial" w:cs="Arial"/>
                      <w:color w:val="666666"/>
                      <w:sz w:val="20"/>
                      <w:szCs w:val="20"/>
                    </w:rPr>
                    <w:t>-free hemoglobin (</w:t>
                  </w:r>
                  <w:proofErr w:type="spellStart"/>
                  <w:r w:rsidRPr="00BF3D5A">
                    <w:rPr>
                      <w:rFonts w:ascii="Arial" w:eastAsia="Times New Roman" w:hAnsi="Arial" w:cs="Arial"/>
                      <w:color w:val="666666"/>
                      <w:sz w:val="20"/>
                      <w:szCs w:val="20"/>
                    </w:rPr>
                    <w:t>Oxyglobin</w:t>
                  </w:r>
                  <w:proofErr w:type="spellEnd"/>
                  <w:r w:rsidRPr="00BF3D5A">
                    <w:rPr>
                      <w:rFonts w:ascii="Arial" w:eastAsia="Times New Roman" w:hAnsi="Arial" w:cs="Arial"/>
                      <w:color w:val="666666"/>
                      <w:sz w:val="20"/>
                      <w:szCs w:val="20"/>
                      <w:vertAlign w:val="superscript"/>
                    </w:rPr>
                    <w:t>®</w:t>
                  </w:r>
                  <w:r w:rsidRPr="00BF3D5A">
                    <w:rPr>
                      <w:rFonts w:ascii="Arial" w:eastAsia="Times New Roman" w:hAnsi="Arial" w:cs="Arial"/>
                      <w:color w:val="666666"/>
                      <w:sz w:val="20"/>
                      <w:szCs w:val="20"/>
                    </w:rPr>
                    <w:t>)</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Modified lactated Ringer's solution</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65,000–130,000</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Up to 500,000</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NA</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20</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See text</w:t>
                  </w:r>
                </w:p>
              </w:tc>
              <w:tc>
                <w:tcPr>
                  <w:tcW w:w="0" w:type="auto"/>
                  <w:tcBorders>
                    <w:right w:val="single" w:sz="12" w:space="0" w:color="FFFFFF"/>
                  </w:tcBorders>
                  <w:shd w:val="clear" w:color="auto" w:fill="FFFFFF"/>
                  <w:tcMar>
                    <w:top w:w="45" w:type="dxa"/>
                    <w:left w:w="45" w:type="dxa"/>
                    <w:bottom w:w="45" w:type="dxa"/>
                    <w:right w:w="45" w:type="dxa"/>
                  </w:tcMar>
                  <w:hideMark/>
                </w:tcPr>
                <w:p w:rsidR="00BF3D5A" w:rsidRPr="00BF3D5A" w:rsidRDefault="00BF3D5A" w:rsidP="00BF3D5A">
                  <w:pPr>
                    <w:spacing w:before="90" w:after="90" w:line="336" w:lineRule="atLeast"/>
                    <w:ind w:left="90" w:right="90" w:hanging="120"/>
                    <w:rPr>
                      <w:rFonts w:ascii="Arial" w:eastAsia="Times New Roman" w:hAnsi="Arial" w:cs="Arial"/>
                      <w:color w:val="666666"/>
                      <w:sz w:val="20"/>
                      <w:szCs w:val="20"/>
                    </w:rPr>
                  </w:pPr>
                  <w:r w:rsidRPr="00BF3D5A">
                    <w:rPr>
                      <w:rFonts w:ascii="Arial" w:eastAsia="Times New Roman" w:hAnsi="Arial" w:cs="Arial"/>
                      <w:color w:val="666666"/>
                      <w:sz w:val="20"/>
                      <w:szCs w:val="20"/>
                    </w:rPr>
                    <w:t>13</w:t>
                  </w:r>
                </w:p>
              </w:tc>
            </w:tr>
            <w:tr w:rsidR="00BF3D5A" w:rsidRPr="00BF3D5A" w:rsidTr="00BF3D5A">
              <w:trPr>
                <w:tblCellSpacing w:w="0" w:type="dxa"/>
              </w:trPr>
              <w:tc>
                <w:tcPr>
                  <w:tcW w:w="0" w:type="auto"/>
                  <w:gridSpan w:val="8"/>
                  <w:tcBorders>
                    <w:top w:val="single" w:sz="6" w:space="0" w:color="CCCCCC"/>
                  </w:tcBorders>
                  <w:shd w:val="clear" w:color="auto" w:fill="EEEEEE"/>
                  <w:tcMar>
                    <w:top w:w="150" w:type="dxa"/>
                    <w:left w:w="150" w:type="dxa"/>
                    <w:bottom w:w="150" w:type="dxa"/>
                    <w:right w:w="150" w:type="dxa"/>
                  </w:tcMar>
                  <w:hideMark/>
                </w:tcPr>
                <w:p w:rsidR="00BF3D5A" w:rsidRPr="00BF3D5A" w:rsidRDefault="00BF3D5A" w:rsidP="00BF3D5A">
                  <w:pPr>
                    <w:spacing w:after="0" w:line="240" w:lineRule="auto"/>
                    <w:rPr>
                      <w:rFonts w:ascii="Arial" w:eastAsia="Times New Roman" w:hAnsi="Arial" w:cs="Arial"/>
                      <w:color w:val="000000"/>
                      <w:sz w:val="17"/>
                      <w:szCs w:val="17"/>
                    </w:rPr>
                  </w:pPr>
                  <w:r w:rsidRPr="00BF3D5A">
                    <w:rPr>
                      <w:rFonts w:ascii="Arial" w:eastAsia="Times New Roman" w:hAnsi="Arial" w:cs="Arial"/>
                      <w:color w:val="000000"/>
                      <w:sz w:val="17"/>
                      <w:szCs w:val="17"/>
                    </w:rPr>
                    <w:t>NA = not applicable</w:t>
                  </w:r>
                </w:p>
              </w:tc>
            </w:tr>
          </w:tbl>
          <w:p w:rsidR="00BF3D5A" w:rsidRPr="00BF3D5A" w:rsidRDefault="00BF3D5A" w:rsidP="00BF3D5A">
            <w:pPr>
              <w:spacing w:after="0" w:line="240" w:lineRule="auto"/>
              <w:rPr>
                <w:rFonts w:ascii="Arial" w:eastAsia="Times New Roman" w:hAnsi="Arial" w:cs="Arial"/>
                <w:sz w:val="19"/>
                <w:szCs w:val="19"/>
              </w:rPr>
            </w:pPr>
          </w:p>
        </w:tc>
      </w:tr>
    </w:tbl>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137" w:name="v4691566"/>
      <w:bookmarkEnd w:id="137"/>
      <w:proofErr w:type="spellStart"/>
      <w:r w:rsidRPr="00BF3D5A">
        <w:rPr>
          <w:rFonts w:ascii="Arial" w:eastAsia="Times New Roman" w:hAnsi="Arial" w:cs="Arial"/>
          <w:b/>
          <w:bCs/>
          <w:color w:val="000000"/>
          <w:sz w:val="20"/>
          <w:szCs w:val="20"/>
        </w:rPr>
        <w:lastRenderedPageBreak/>
        <w:t>Stroma</w:t>
      </w:r>
      <w:proofErr w:type="spellEnd"/>
      <w:r w:rsidRPr="00BF3D5A">
        <w:rPr>
          <w:rFonts w:ascii="Arial" w:eastAsia="Times New Roman" w:hAnsi="Arial" w:cs="Arial"/>
          <w:b/>
          <w:bCs/>
          <w:color w:val="000000"/>
          <w:sz w:val="20"/>
          <w:szCs w:val="20"/>
        </w:rPr>
        <w:t>-free hemoglobin (</w:t>
      </w:r>
      <w:proofErr w:type="spellStart"/>
      <w:r w:rsidRPr="00BF3D5A">
        <w:rPr>
          <w:rFonts w:ascii="Arial" w:eastAsia="Times New Roman" w:hAnsi="Arial" w:cs="Arial"/>
          <w:b/>
          <w:bCs/>
          <w:color w:val="000000"/>
          <w:sz w:val="20"/>
          <w:szCs w:val="20"/>
        </w:rPr>
        <w:t>Oxyglobin</w:t>
      </w:r>
      <w:proofErr w:type="spellEnd"/>
      <w:r w:rsidRPr="00BF3D5A">
        <w:rPr>
          <w:rFonts w:ascii="Arial" w:eastAsia="Times New Roman" w:hAnsi="Arial" w:cs="Arial"/>
          <w:color w:val="000000"/>
          <w:sz w:val="20"/>
          <w:szCs w:val="20"/>
          <w:vertAlign w:val="superscript"/>
        </w:rPr>
        <w:t>®</w:t>
      </w:r>
      <w:r w:rsidRPr="00BF3D5A">
        <w:rPr>
          <w:rFonts w:ascii="Arial" w:eastAsia="Times New Roman" w:hAnsi="Arial" w:cs="Arial"/>
          <w:b/>
          <w:bCs/>
          <w:color w:val="000000"/>
          <w:sz w:val="20"/>
          <w:szCs w:val="20"/>
        </w:rPr>
        <w:t>)</w:t>
      </w:r>
      <w:r w:rsidRPr="00BF3D5A">
        <w:rPr>
          <w:rFonts w:ascii="Arial" w:eastAsia="Times New Roman" w:hAnsi="Arial" w:cs="Arial"/>
          <w:color w:val="000000"/>
          <w:sz w:val="20"/>
          <w:szCs w:val="20"/>
        </w:rPr>
        <w:t xml:space="preserve"> is a polymerized bovine hemoglobin-based solution that increases plasma and total hemoglobin concentration. This solution is indicated for the treatment of anemia and hypovolemia with tissue hypoxia. It has colloidal properties similar to those of </w:t>
      </w:r>
      <w:proofErr w:type="spellStart"/>
      <w:r w:rsidRPr="00BF3D5A">
        <w:rPr>
          <w:rFonts w:ascii="Arial" w:eastAsia="Times New Roman" w:hAnsi="Arial" w:cs="Arial"/>
          <w:color w:val="000000"/>
          <w:sz w:val="20"/>
          <w:szCs w:val="20"/>
        </w:rPr>
        <w:t>hetastarch</w:t>
      </w:r>
      <w:proofErr w:type="spellEnd"/>
      <w:r w:rsidRPr="00BF3D5A">
        <w:rPr>
          <w:rFonts w:ascii="Arial" w:eastAsia="Times New Roman" w:hAnsi="Arial" w:cs="Arial"/>
          <w:color w:val="000000"/>
          <w:sz w:val="20"/>
          <w:szCs w:val="20"/>
        </w:rPr>
        <w:t xml:space="preserve"> and exerts mild vasopressor activity, believed to be through scavenging of nitric oxide (NO), a potent constitutive and </w:t>
      </w:r>
      <w:proofErr w:type="spellStart"/>
      <w:r w:rsidRPr="00BF3D5A">
        <w:rPr>
          <w:rFonts w:ascii="Arial" w:eastAsia="Times New Roman" w:hAnsi="Arial" w:cs="Arial"/>
          <w:color w:val="000000"/>
          <w:sz w:val="20"/>
          <w:szCs w:val="20"/>
        </w:rPr>
        <w:t>inducable</w:t>
      </w:r>
      <w:proofErr w:type="spellEnd"/>
      <w:r w:rsidRPr="00BF3D5A">
        <w:rPr>
          <w:rFonts w:ascii="Arial" w:eastAsia="Times New Roman" w:hAnsi="Arial" w:cs="Arial"/>
          <w:color w:val="000000"/>
          <w:sz w:val="20"/>
          <w:szCs w:val="20"/>
        </w:rPr>
        <w:t xml:space="preserve"> vasodilator. The dark hue of the solution causes discoloration of the serum (and sometimes the urine) that can interfere with some serum chemistry tests, depending on the type of analyzer and reagents used. </w:t>
      </w:r>
      <w:proofErr w:type="spellStart"/>
      <w:r w:rsidRPr="00BF3D5A">
        <w:rPr>
          <w:rFonts w:ascii="Arial" w:eastAsia="Times New Roman" w:hAnsi="Arial" w:cs="Arial"/>
          <w:color w:val="000000"/>
          <w:sz w:val="20"/>
          <w:szCs w:val="20"/>
        </w:rPr>
        <w:t>Bilirubinuria</w:t>
      </w:r>
      <w:proofErr w:type="spellEnd"/>
      <w:r w:rsidRPr="00BF3D5A">
        <w:rPr>
          <w:rFonts w:ascii="Arial" w:eastAsia="Times New Roman" w:hAnsi="Arial" w:cs="Arial"/>
          <w:color w:val="000000"/>
          <w:sz w:val="20"/>
          <w:szCs w:val="20"/>
        </w:rPr>
        <w:t xml:space="preserve"> will be present. Dosages ≤30 mL/kg/day have been approved for dogs, with the rate of infusion &lt;10 mL/kg/hr. When given to an animal with a normal blood volume, administration must be slow and carefully monitored to avoid volume overload resulting from the colloidal and </w:t>
      </w:r>
      <w:proofErr w:type="spellStart"/>
      <w:r w:rsidRPr="00BF3D5A">
        <w:rPr>
          <w:rFonts w:ascii="Arial" w:eastAsia="Times New Roman" w:hAnsi="Arial" w:cs="Arial"/>
          <w:color w:val="000000"/>
          <w:sz w:val="20"/>
          <w:szCs w:val="20"/>
        </w:rPr>
        <w:t>pressor</w:t>
      </w:r>
      <w:proofErr w:type="spellEnd"/>
      <w:r w:rsidRPr="00BF3D5A">
        <w:rPr>
          <w:rFonts w:ascii="Arial" w:eastAsia="Times New Roman" w:hAnsi="Arial" w:cs="Arial"/>
          <w:color w:val="000000"/>
          <w:sz w:val="20"/>
          <w:szCs w:val="20"/>
        </w:rPr>
        <w:t xml:space="preserve"> properties of the solution. </w:t>
      </w:r>
      <w:proofErr w:type="spellStart"/>
      <w:r w:rsidRPr="00BF3D5A">
        <w:rPr>
          <w:rFonts w:ascii="Arial" w:eastAsia="Times New Roman" w:hAnsi="Arial" w:cs="Arial"/>
          <w:color w:val="000000"/>
          <w:sz w:val="20"/>
          <w:szCs w:val="20"/>
        </w:rPr>
        <w:t>Oxyglobin</w:t>
      </w:r>
      <w:proofErr w:type="spellEnd"/>
      <w:r w:rsidRPr="00BF3D5A">
        <w:rPr>
          <w:rFonts w:ascii="Arial" w:eastAsia="Times New Roman" w:hAnsi="Arial" w:cs="Arial"/>
          <w:color w:val="000000"/>
          <w:sz w:val="20"/>
          <w:szCs w:val="20"/>
        </w:rPr>
        <w:t xml:space="preserve"> has also been used in cats as infusions (4–25 mL/kg/24 </w:t>
      </w:r>
      <w:proofErr w:type="spellStart"/>
      <w:r w:rsidRPr="00BF3D5A">
        <w:rPr>
          <w:rFonts w:ascii="Arial" w:eastAsia="Times New Roman" w:hAnsi="Arial" w:cs="Arial"/>
          <w:color w:val="000000"/>
          <w:sz w:val="20"/>
          <w:szCs w:val="20"/>
        </w:rPr>
        <w:t>hr</w:t>
      </w:r>
      <w:proofErr w:type="spellEnd"/>
      <w:r w:rsidRPr="00BF3D5A">
        <w:rPr>
          <w:rFonts w:ascii="Arial" w:eastAsia="Times New Roman" w:hAnsi="Arial" w:cs="Arial"/>
          <w:color w:val="000000"/>
          <w:sz w:val="20"/>
          <w:szCs w:val="20"/>
        </w:rPr>
        <w:t xml:space="preserve">) and/or rapid infusions (1–5 mL/cat). Anecdotally, the </w:t>
      </w:r>
      <w:proofErr w:type="spellStart"/>
      <w:r w:rsidRPr="00BF3D5A">
        <w:rPr>
          <w:rFonts w:ascii="Arial" w:eastAsia="Times New Roman" w:hAnsi="Arial" w:cs="Arial"/>
          <w:color w:val="000000"/>
          <w:sz w:val="20"/>
          <w:szCs w:val="20"/>
        </w:rPr>
        <w:t>pressor</w:t>
      </w:r>
      <w:proofErr w:type="spellEnd"/>
      <w:r w:rsidRPr="00BF3D5A">
        <w:rPr>
          <w:rFonts w:ascii="Arial" w:eastAsia="Times New Roman" w:hAnsi="Arial" w:cs="Arial"/>
          <w:color w:val="000000"/>
          <w:sz w:val="20"/>
          <w:szCs w:val="20"/>
        </w:rPr>
        <w:t xml:space="preserve"> effects in cats seem pronounced, and blood pressure should be monitored. </w:t>
      </w:r>
      <w:proofErr w:type="spellStart"/>
      <w:r w:rsidRPr="00BF3D5A">
        <w:rPr>
          <w:rFonts w:ascii="Arial" w:eastAsia="Times New Roman" w:hAnsi="Arial" w:cs="Arial"/>
          <w:color w:val="000000"/>
          <w:sz w:val="20"/>
          <w:szCs w:val="20"/>
        </w:rPr>
        <w:t>Oxyglobin</w:t>
      </w:r>
      <w:proofErr w:type="spellEnd"/>
      <w:r w:rsidRPr="00BF3D5A">
        <w:rPr>
          <w:rFonts w:ascii="Arial" w:eastAsia="Times New Roman" w:hAnsi="Arial" w:cs="Arial"/>
          <w:color w:val="000000"/>
          <w:sz w:val="20"/>
          <w:szCs w:val="20"/>
        </w:rPr>
        <w:t xml:space="preserve"> has been associated with development of pulmonary edema, pleural effusion, and respiratory distress, particularly in cats with underlying heart disease.</w:t>
      </w:r>
    </w:p>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138" w:name="v9165614"/>
      <w:bookmarkEnd w:id="138"/>
      <w:r w:rsidRPr="00BF3D5A">
        <w:rPr>
          <w:rFonts w:ascii="Arial" w:eastAsia="Times New Roman" w:hAnsi="Arial" w:cs="Arial"/>
          <w:b/>
          <w:bCs/>
          <w:color w:val="000000"/>
          <w:sz w:val="20"/>
          <w:szCs w:val="20"/>
        </w:rPr>
        <w:t>Lyophilized canine albumin</w:t>
      </w:r>
      <w:r w:rsidRPr="00BF3D5A">
        <w:rPr>
          <w:rFonts w:ascii="Arial" w:eastAsia="Times New Roman" w:hAnsi="Arial" w:cs="Arial"/>
          <w:color w:val="000000"/>
          <w:sz w:val="20"/>
          <w:szCs w:val="20"/>
        </w:rPr>
        <w:t xml:space="preserve"> is available as a 5% </w:t>
      </w:r>
      <w:proofErr w:type="spellStart"/>
      <w:r w:rsidRPr="00BF3D5A">
        <w:rPr>
          <w:rFonts w:ascii="Arial" w:eastAsia="Times New Roman" w:hAnsi="Arial" w:cs="Arial"/>
          <w:color w:val="000000"/>
          <w:sz w:val="20"/>
          <w:szCs w:val="20"/>
        </w:rPr>
        <w:t>lypophilized</w:t>
      </w:r>
      <w:proofErr w:type="spellEnd"/>
      <w:r w:rsidRPr="00BF3D5A">
        <w:rPr>
          <w:rFonts w:ascii="Arial" w:eastAsia="Times New Roman" w:hAnsi="Arial" w:cs="Arial"/>
          <w:color w:val="000000"/>
          <w:sz w:val="20"/>
          <w:szCs w:val="20"/>
        </w:rPr>
        <w:t xml:space="preserve"> solution that can be reconstituted. It has been administered to dogs with septic peritonitis and </w:t>
      </w:r>
      <w:proofErr w:type="spellStart"/>
      <w:r w:rsidRPr="00BF3D5A">
        <w:rPr>
          <w:rFonts w:ascii="Arial" w:eastAsia="Times New Roman" w:hAnsi="Arial" w:cs="Arial"/>
          <w:color w:val="000000"/>
          <w:sz w:val="20"/>
          <w:szCs w:val="20"/>
        </w:rPr>
        <w:t>hypoalbuminemia</w:t>
      </w:r>
      <w:proofErr w:type="spellEnd"/>
      <w:r w:rsidRPr="00BF3D5A">
        <w:rPr>
          <w:rFonts w:ascii="Arial" w:eastAsia="Times New Roman" w:hAnsi="Arial" w:cs="Arial"/>
          <w:color w:val="000000"/>
          <w:sz w:val="20"/>
          <w:szCs w:val="20"/>
        </w:rPr>
        <w:t xml:space="preserve"> and has been demonstrated to increase oncotic pressure, measured albumin levels, and Doppler-measured blood pressure, with increased albumin levels persisting for as long as 24 hours. Minimal adverse effects have been noted. </w:t>
      </w:r>
      <w:r w:rsidRPr="00BF3D5A">
        <w:rPr>
          <w:rFonts w:ascii="Arial" w:eastAsia="Times New Roman" w:hAnsi="Arial" w:cs="Arial"/>
          <w:color w:val="000000"/>
          <w:sz w:val="20"/>
          <w:szCs w:val="20"/>
        </w:rPr>
        <w:lastRenderedPageBreak/>
        <w:t>Replacement of albumin can be calculated using the following formula: body weight (kg) × 90 mL/kg × (target albumin level (</w:t>
      </w:r>
      <w:proofErr w:type="spellStart"/>
      <w:r w:rsidRPr="00BF3D5A">
        <w:rPr>
          <w:rFonts w:ascii="Arial" w:eastAsia="Times New Roman" w:hAnsi="Arial" w:cs="Arial"/>
          <w:color w:val="000000"/>
          <w:sz w:val="20"/>
          <w:szCs w:val="20"/>
        </w:rPr>
        <w:t>eg</w:t>
      </w:r>
      <w:proofErr w:type="spellEnd"/>
      <w:r w:rsidRPr="00BF3D5A">
        <w:rPr>
          <w:rFonts w:ascii="Arial" w:eastAsia="Times New Roman" w:hAnsi="Arial" w:cs="Arial"/>
          <w:color w:val="000000"/>
          <w:sz w:val="20"/>
          <w:szCs w:val="20"/>
        </w:rPr>
        <w:t>, 2 mg/</w:t>
      </w:r>
      <w:proofErr w:type="spellStart"/>
      <w:r w:rsidRPr="00BF3D5A">
        <w:rPr>
          <w:rFonts w:ascii="Arial" w:eastAsia="Times New Roman" w:hAnsi="Arial" w:cs="Arial"/>
          <w:color w:val="000000"/>
          <w:sz w:val="20"/>
          <w:szCs w:val="20"/>
        </w:rPr>
        <w:t>dL</w:t>
      </w:r>
      <w:proofErr w:type="spellEnd"/>
      <w:r w:rsidRPr="00BF3D5A">
        <w:rPr>
          <w:rFonts w:ascii="Arial" w:eastAsia="Times New Roman" w:hAnsi="Arial" w:cs="Arial"/>
          <w:color w:val="000000"/>
          <w:sz w:val="20"/>
          <w:szCs w:val="20"/>
        </w:rPr>
        <w:t>) - patient's current albumin level) × 0.2 g/</w:t>
      </w:r>
      <w:proofErr w:type="spellStart"/>
      <w:r w:rsidRPr="00BF3D5A">
        <w:rPr>
          <w:rFonts w:ascii="Arial" w:eastAsia="Times New Roman" w:hAnsi="Arial" w:cs="Arial"/>
          <w:color w:val="000000"/>
          <w:sz w:val="20"/>
          <w:szCs w:val="20"/>
        </w:rPr>
        <w:t>dL</w:t>
      </w:r>
      <w:proofErr w:type="spellEnd"/>
      <w:r w:rsidRPr="00BF3D5A">
        <w:rPr>
          <w:rFonts w:ascii="Arial" w:eastAsia="Times New Roman" w:hAnsi="Arial" w:cs="Arial"/>
          <w:color w:val="000000"/>
          <w:sz w:val="20"/>
          <w:szCs w:val="20"/>
        </w:rPr>
        <w:t xml:space="preserve"> = number of mL to administer of 5% (50 mg/mL). It may also be administered as a more concentrated solution (16% or 166 mg/mL) for hypotensive patients, at a dosage of 800 mg/kg throughout 6 hr. Human serum albumin is available as well and has been used with success in critically ill veterinary patients; however, when administered to healthy animals, severe adverse effects, including multiple organ failure, have been noted.</w:t>
      </w:r>
    </w:p>
    <w:p w:rsidR="00BF3D5A" w:rsidRPr="00BF3D5A" w:rsidRDefault="00BF3D5A" w:rsidP="00BF3D5A">
      <w:pPr>
        <w:shd w:val="clear" w:color="auto" w:fill="FFFFFF"/>
        <w:spacing w:after="288" w:line="336" w:lineRule="atLeast"/>
        <w:rPr>
          <w:rFonts w:ascii="Arial" w:eastAsia="Times New Roman" w:hAnsi="Arial" w:cs="Arial"/>
          <w:color w:val="000000"/>
          <w:sz w:val="20"/>
          <w:szCs w:val="20"/>
        </w:rPr>
      </w:pPr>
      <w:bookmarkStart w:id="139" w:name="v9165616"/>
      <w:bookmarkEnd w:id="139"/>
      <w:r w:rsidRPr="00BF3D5A">
        <w:rPr>
          <w:rFonts w:ascii="Arial" w:eastAsia="Times New Roman" w:hAnsi="Arial" w:cs="Arial"/>
          <w:color w:val="000000"/>
          <w:sz w:val="20"/>
          <w:szCs w:val="20"/>
        </w:rPr>
        <w:t>Blood products are important in many situations (see </w:t>
      </w:r>
      <w:hyperlink r:id="rId10" w:history="1">
        <w:r w:rsidRPr="00BF3D5A">
          <w:rPr>
            <w:rFonts w:ascii="Arial" w:eastAsia="Times New Roman" w:hAnsi="Arial" w:cs="Arial"/>
            <w:color w:val="33664D"/>
            <w:sz w:val="18"/>
            <w:szCs w:val="18"/>
            <w:u w:val="single"/>
          </w:rPr>
          <w:t>Blood Transfusions</w:t>
        </w:r>
      </w:hyperlink>
      <w:r w:rsidRPr="00BF3D5A">
        <w:rPr>
          <w:rFonts w:ascii="Arial" w:eastAsia="Times New Roman" w:hAnsi="Arial" w:cs="Arial"/>
          <w:color w:val="000000"/>
          <w:sz w:val="20"/>
          <w:szCs w:val="20"/>
        </w:rPr>
        <w:t xml:space="preserve">). Animals that need clotting proteins may require frozen (or fresh frozen) plasma or cryoprecipitate, which contains concentrated amounts of factor VIII and von </w:t>
      </w:r>
      <w:proofErr w:type="spellStart"/>
      <w:r w:rsidRPr="00BF3D5A">
        <w:rPr>
          <w:rFonts w:ascii="Arial" w:eastAsia="Times New Roman" w:hAnsi="Arial" w:cs="Arial"/>
          <w:color w:val="000000"/>
          <w:sz w:val="20"/>
          <w:szCs w:val="20"/>
        </w:rPr>
        <w:t>Willebrand</w:t>
      </w:r>
      <w:proofErr w:type="spellEnd"/>
      <w:r w:rsidRPr="00BF3D5A">
        <w:rPr>
          <w:rFonts w:ascii="Arial" w:eastAsia="Times New Roman" w:hAnsi="Arial" w:cs="Arial"/>
          <w:color w:val="000000"/>
          <w:sz w:val="20"/>
          <w:szCs w:val="20"/>
        </w:rPr>
        <w:t xml:space="preserve"> factor; platelet-rich plasma may be necessary for platelet deficiencies. Animals with severe anemia or blood loss may require whole blood or packed red blood cells. </w:t>
      </w:r>
      <w:proofErr w:type="spellStart"/>
      <w:r w:rsidRPr="00BF3D5A">
        <w:rPr>
          <w:rFonts w:ascii="Arial" w:eastAsia="Times New Roman" w:hAnsi="Arial" w:cs="Arial"/>
          <w:color w:val="000000"/>
          <w:sz w:val="20"/>
          <w:szCs w:val="20"/>
        </w:rPr>
        <w:t>Cavitary</w:t>
      </w:r>
      <w:proofErr w:type="spellEnd"/>
      <w:r w:rsidRPr="00BF3D5A">
        <w:rPr>
          <w:rFonts w:ascii="Arial" w:eastAsia="Times New Roman" w:hAnsi="Arial" w:cs="Arial"/>
          <w:color w:val="000000"/>
          <w:sz w:val="20"/>
          <w:szCs w:val="20"/>
        </w:rPr>
        <w:t xml:space="preserve"> hemorrhage may allow collection of blood either with </w:t>
      </w:r>
      <w:proofErr w:type="spellStart"/>
      <w:r w:rsidRPr="00BF3D5A">
        <w:rPr>
          <w:rFonts w:ascii="Arial" w:eastAsia="Times New Roman" w:hAnsi="Arial" w:cs="Arial"/>
          <w:color w:val="000000"/>
          <w:sz w:val="20"/>
          <w:szCs w:val="20"/>
        </w:rPr>
        <w:t>centesis</w:t>
      </w:r>
      <w:proofErr w:type="spellEnd"/>
      <w:r w:rsidRPr="00BF3D5A">
        <w:rPr>
          <w:rFonts w:ascii="Arial" w:eastAsia="Times New Roman" w:hAnsi="Arial" w:cs="Arial"/>
          <w:color w:val="000000"/>
          <w:sz w:val="20"/>
          <w:szCs w:val="20"/>
        </w:rPr>
        <w:t xml:space="preserve"> or in surgery for autologous blood administration when banked blood is not available.</w:t>
      </w:r>
    </w:p>
    <w:p w:rsidR="0070615F" w:rsidRDefault="0070615F">
      <w:bookmarkStart w:id="140" w:name="_GoBack"/>
      <w:bookmarkEnd w:id="140"/>
    </w:p>
    <w:sectPr w:rsidR="0070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5A"/>
    <w:rsid w:val="0070615F"/>
    <w:rsid w:val="00BF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D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846039">
      <w:bodyDiv w:val="1"/>
      <w:marLeft w:val="0"/>
      <w:marRight w:val="0"/>
      <w:marTop w:val="0"/>
      <w:marBottom w:val="0"/>
      <w:divBdr>
        <w:top w:val="none" w:sz="0" w:space="0" w:color="auto"/>
        <w:left w:val="none" w:sz="0" w:space="0" w:color="auto"/>
        <w:bottom w:val="none" w:sz="0" w:space="0" w:color="auto"/>
        <w:right w:val="none" w:sz="0" w:space="0" w:color="auto"/>
      </w:divBdr>
      <w:divsChild>
        <w:div w:id="1946957758">
          <w:marLeft w:val="0"/>
          <w:marRight w:val="0"/>
          <w:marTop w:val="0"/>
          <w:marBottom w:val="0"/>
          <w:divBdr>
            <w:top w:val="none" w:sz="0" w:space="0" w:color="auto"/>
            <w:left w:val="none" w:sz="0" w:space="0" w:color="auto"/>
            <w:bottom w:val="none" w:sz="0" w:space="0" w:color="auto"/>
            <w:right w:val="none" w:sz="0" w:space="0" w:color="auto"/>
          </w:divBdr>
          <w:divsChild>
            <w:div w:id="259486297">
              <w:marLeft w:val="0"/>
              <w:marRight w:val="0"/>
              <w:marTop w:val="0"/>
              <w:marBottom w:val="0"/>
              <w:divBdr>
                <w:top w:val="none" w:sz="0" w:space="0" w:color="auto"/>
                <w:left w:val="none" w:sz="0" w:space="0" w:color="auto"/>
                <w:bottom w:val="none" w:sz="0" w:space="0" w:color="auto"/>
                <w:right w:val="none" w:sz="0" w:space="0" w:color="auto"/>
              </w:divBdr>
            </w:div>
            <w:div w:id="2432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javascript:NewWindow('d8782255e1004',550,'Table','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merckmanuals.com/vet/emergency_medicine_and_critical_care/fluid_therapy/the_fluid_resuscitation_plan.html" TargetMode="External"/><Relationship Id="rId10" Type="http://schemas.openxmlformats.org/officeDocument/2006/relationships/hyperlink" Target="http://www.merckmanuals.com/vet/circulatory_system/blood_groups_and_blood_transfusions/blood_transfusions.html"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2014-09-24T20:03:00Z</dcterms:created>
  <dcterms:modified xsi:type="dcterms:W3CDTF">2014-09-24T20:05:00Z</dcterms:modified>
</cp:coreProperties>
</file>