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D6" w:rsidRDefault="008A4DB2">
      <w:pPr>
        <w:rPr>
          <w:b/>
        </w:rPr>
      </w:pPr>
      <w:r w:rsidRPr="00A64288">
        <w:rPr>
          <w:b/>
        </w:rPr>
        <w:t>EMERGENCY DRUGS</w:t>
      </w:r>
    </w:p>
    <w:p w:rsidR="00A64288" w:rsidRDefault="00A64288">
      <w:pPr>
        <w:rPr>
          <w:b/>
        </w:rPr>
      </w:pPr>
    </w:p>
    <w:p w:rsidR="00A64288" w:rsidRDefault="00A64288">
      <w:r>
        <w:t>Weight of animal: 42.5kg</w:t>
      </w:r>
    </w:p>
    <w:p w:rsidR="00A64288" w:rsidRDefault="00A64288"/>
    <w:p w:rsidR="00A64288" w:rsidRDefault="00A64288" w:rsidP="00A64288">
      <w:pPr>
        <w:rPr>
          <w:rFonts w:eastAsiaTheme="minorEastAsia"/>
        </w:rPr>
      </w:pPr>
      <w:r>
        <w:t xml:space="preserve">VOLUME (ML)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 xml:space="preserve">WEIGHT OF ANIMAL 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KG</m:t>
                </m:r>
              </m:e>
            </m:d>
            <m:r>
              <w:rPr>
                <w:rFonts w:ascii="Cambria Math" w:hAnsi="Cambria Math"/>
              </w:rPr>
              <m:t>x DOSAGE OF DRUG 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MG</m:t>
                </m:r>
              </m:num>
              <m:den>
                <m:r>
                  <w:rPr>
                    <w:rFonts w:ascii="Cambria Math" w:hAnsi="Cambria Math"/>
                  </w:rPr>
                  <m:t>KG</m:t>
                </m:r>
              </m:den>
            </m:f>
            <m:r>
              <w:rPr>
                <w:rFonts w:ascii="Cambria Math" w:hAnsi="Cambria Math"/>
              </w:rPr>
              <m:t>)</m:t>
            </m:r>
          </m:num>
          <m:den>
            <m:r>
              <w:rPr>
                <w:rFonts w:ascii="Cambria Math" w:hAnsi="Cambria Math"/>
              </w:rPr>
              <m:t>CONCENTRATION OF DRUG 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MG</m:t>
                </m:r>
              </m:num>
              <m:den>
                <m:r>
                  <w:rPr>
                    <w:rFonts w:ascii="Cambria Math" w:hAnsi="Cambria Math"/>
                  </w:rPr>
                  <m:t>ML</m:t>
                </m:r>
              </m:den>
            </m:f>
            <m:r>
              <w:rPr>
                <w:rFonts w:ascii="Cambria Math" w:hAnsi="Cambria Math"/>
              </w:rPr>
              <m:t>)</m:t>
            </m:r>
          </m:den>
        </m:f>
      </m:oMath>
    </w:p>
    <w:p w:rsidR="00A64288" w:rsidRPr="00A64288" w:rsidRDefault="00A64288"/>
    <w:p w:rsidR="008A4DB2" w:rsidRDefault="008A4DB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250"/>
        <w:gridCol w:w="1800"/>
        <w:gridCol w:w="2610"/>
        <w:gridCol w:w="1800"/>
        <w:gridCol w:w="2875"/>
      </w:tblGrid>
      <w:tr w:rsidR="008A4DB2" w:rsidRPr="00556617" w:rsidTr="00A64288">
        <w:tc>
          <w:tcPr>
            <w:tcW w:w="1615" w:type="dxa"/>
          </w:tcPr>
          <w:p w:rsidR="008A4DB2" w:rsidRPr="00556617" w:rsidRDefault="008A4DB2" w:rsidP="009C053F">
            <w:pPr>
              <w:jc w:val="center"/>
              <w:rPr>
                <w:b/>
              </w:rPr>
            </w:pPr>
            <w:r w:rsidRPr="00556617">
              <w:rPr>
                <w:b/>
              </w:rPr>
              <w:t>Drug</w:t>
            </w:r>
          </w:p>
        </w:tc>
        <w:tc>
          <w:tcPr>
            <w:tcW w:w="2250" w:type="dxa"/>
          </w:tcPr>
          <w:p w:rsidR="008A4DB2" w:rsidRPr="00556617" w:rsidRDefault="008A4DB2" w:rsidP="009C053F">
            <w:pPr>
              <w:jc w:val="center"/>
              <w:rPr>
                <w:b/>
              </w:rPr>
            </w:pPr>
            <w:r w:rsidRPr="00556617">
              <w:rPr>
                <w:b/>
              </w:rPr>
              <w:t>Concentration</w:t>
            </w:r>
          </w:p>
        </w:tc>
        <w:tc>
          <w:tcPr>
            <w:tcW w:w="1800" w:type="dxa"/>
          </w:tcPr>
          <w:p w:rsidR="008A4DB2" w:rsidRPr="00556617" w:rsidRDefault="008A4DB2" w:rsidP="009C053F">
            <w:pPr>
              <w:jc w:val="center"/>
              <w:rPr>
                <w:b/>
              </w:rPr>
            </w:pPr>
            <w:r w:rsidRPr="00556617">
              <w:rPr>
                <w:b/>
              </w:rPr>
              <w:t>Dose Rate and Route</w:t>
            </w:r>
          </w:p>
        </w:tc>
        <w:tc>
          <w:tcPr>
            <w:tcW w:w="2610" w:type="dxa"/>
          </w:tcPr>
          <w:p w:rsidR="008A4DB2" w:rsidRPr="00556617" w:rsidRDefault="008A4DB2" w:rsidP="009C053F">
            <w:pPr>
              <w:jc w:val="center"/>
              <w:rPr>
                <w:b/>
              </w:rPr>
            </w:pPr>
            <w:r w:rsidRPr="00556617">
              <w:rPr>
                <w:b/>
              </w:rPr>
              <w:t>Calculations</w:t>
            </w:r>
          </w:p>
        </w:tc>
        <w:tc>
          <w:tcPr>
            <w:tcW w:w="1800" w:type="dxa"/>
          </w:tcPr>
          <w:p w:rsidR="008A4DB2" w:rsidRPr="00556617" w:rsidRDefault="008A4DB2" w:rsidP="009C053F">
            <w:pPr>
              <w:jc w:val="center"/>
              <w:rPr>
                <w:b/>
              </w:rPr>
            </w:pPr>
            <w:r w:rsidRPr="00556617">
              <w:rPr>
                <w:b/>
              </w:rPr>
              <w:t>Withdrawal time</w:t>
            </w:r>
          </w:p>
        </w:tc>
        <w:tc>
          <w:tcPr>
            <w:tcW w:w="2875" w:type="dxa"/>
          </w:tcPr>
          <w:p w:rsidR="008A4DB2" w:rsidRPr="00556617" w:rsidRDefault="008A4DB2" w:rsidP="009C053F">
            <w:pPr>
              <w:jc w:val="center"/>
              <w:rPr>
                <w:b/>
              </w:rPr>
            </w:pPr>
            <w:r w:rsidRPr="00556617">
              <w:rPr>
                <w:b/>
              </w:rPr>
              <w:t>Indications</w:t>
            </w:r>
          </w:p>
        </w:tc>
      </w:tr>
      <w:tr w:rsidR="008A4DB2" w:rsidTr="00A64288">
        <w:tc>
          <w:tcPr>
            <w:tcW w:w="1615" w:type="dxa"/>
          </w:tcPr>
          <w:p w:rsidR="008A4DB2" w:rsidRDefault="008A4DB2" w:rsidP="009C053F">
            <w:proofErr w:type="spellStart"/>
            <w:r>
              <w:t>Tolazoline</w:t>
            </w:r>
            <w:proofErr w:type="spellEnd"/>
          </w:p>
        </w:tc>
        <w:tc>
          <w:tcPr>
            <w:tcW w:w="2250" w:type="dxa"/>
          </w:tcPr>
          <w:p w:rsidR="008A4DB2" w:rsidRDefault="00A64288" w:rsidP="009C053F">
            <w:r>
              <w:t>100mg/ml</w:t>
            </w:r>
          </w:p>
        </w:tc>
        <w:tc>
          <w:tcPr>
            <w:tcW w:w="1800" w:type="dxa"/>
          </w:tcPr>
          <w:p w:rsidR="008A4DB2" w:rsidRDefault="00A64288" w:rsidP="009C053F">
            <w:r>
              <w:t xml:space="preserve">2 x </w:t>
            </w:r>
            <w:proofErr w:type="spellStart"/>
            <w:r>
              <w:t>xylazine</w:t>
            </w:r>
            <w:proofErr w:type="spellEnd"/>
            <w:r>
              <w:t xml:space="preserve"> dose:</w:t>
            </w:r>
          </w:p>
          <w:p w:rsidR="00A64288" w:rsidRDefault="00A64288" w:rsidP="00A64288">
            <w:pPr>
              <w:jc w:val="center"/>
            </w:pPr>
            <w:r>
              <w:t>0.05mg/kg</w:t>
            </w:r>
          </w:p>
        </w:tc>
        <w:tc>
          <w:tcPr>
            <w:tcW w:w="2610" w:type="dxa"/>
          </w:tcPr>
          <w:p w:rsidR="00A64288" w:rsidRPr="006A418A" w:rsidRDefault="00A64288" w:rsidP="00A64288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42.5x</m:t>
                    </m:r>
                    <m:r>
                      <w:rPr>
                        <w:rFonts w:ascii="Cambria Math" w:hAnsi="Cambria Math"/>
                      </w:rPr>
                      <m:t>0.05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100</m:t>
                    </m:r>
                  </m:den>
                </m:f>
                <m:r>
                  <w:rPr>
                    <w:rFonts w:ascii="Cambria Math" w:hAnsi="Cambria Math"/>
                  </w:rPr>
                  <m:t>=0.02</m:t>
                </m:r>
                <m:r>
                  <w:rPr>
                    <w:rFonts w:ascii="Cambria Math" w:hAnsi="Cambria Math"/>
                  </w:rPr>
                  <m:t xml:space="preserve">ml </m:t>
                </m:r>
              </m:oMath>
            </m:oMathPara>
          </w:p>
          <w:p w:rsidR="00A64288" w:rsidRDefault="00A64288" w:rsidP="00A64288">
            <w:pPr>
              <w:rPr>
                <w:rFonts w:eastAsiaTheme="minorEastAsia"/>
              </w:rPr>
            </w:pPr>
          </w:p>
          <w:p w:rsidR="008A4DB2" w:rsidRDefault="00A64288" w:rsidP="00A64288">
            <w:r>
              <w:rPr>
                <w:rFonts w:eastAsiaTheme="minorEastAsia"/>
              </w:rPr>
              <w:t>Amoun</w:t>
            </w:r>
            <w:r>
              <w:rPr>
                <w:rFonts w:eastAsiaTheme="minorEastAsia"/>
              </w:rPr>
              <w:t>t given: was not required (0ml)</w:t>
            </w:r>
          </w:p>
        </w:tc>
        <w:tc>
          <w:tcPr>
            <w:tcW w:w="1800" w:type="dxa"/>
          </w:tcPr>
          <w:p w:rsidR="008A4DB2" w:rsidRDefault="008A4DB2" w:rsidP="009C053F"/>
        </w:tc>
        <w:tc>
          <w:tcPr>
            <w:tcW w:w="2875" w:type="dxa"/>
          </w:tcPr>
          <w:p w:rsidR="008A4DB2" w:rsidRPr="001504FD" w:rsidRDefault="001504FD" w:rsidP="009C053F">
            <w:r w:rsidRPr="001504FD">
              <w:t xml:space="preserve">Reversal of </w:t>
            </w:r>
            <w:proofErr w:type="spellStart"/>
            <w:r w:rsidRPr="001504FD">
              <w:t>Xylazine</w:t>
            </w:r>
            <w:proofErr w:type="spellEnd"/>
            <w:r w:rsidRPr="001504FD">
              <w:t xml:space="preserve"> (</w:t>
            </w:r>
            <w:r w:rsidRPr="001504FD">
              <w:rPr>
                <w:shd w:val="clear" w:color="auto" w:fill="FFFFFF"/>
              </w:rPr>
              <w:t>Blockage of alpha 2-adrenergic receptor sites)</w:t>
            </w:r>
          </w:p>
        </w:tc>
      </w:tr>
      <w:tr w:rsidR="008A4DB2" w:rsidTr="00A64288">
        <w:tc>
          <w:tcPr>
            <w:tcW w:w="1615" w:type="dxa"/>
          </w:tcPr>
          <w:p w:rsidR="008A4DB2" w:rsidRDefault="008A4DB2" w:rsidP="009C053F">
            <w:r>
              <w:t>Atropine</w:t>
            </w:r>
          </w:p>
        </w:tc>
        <w:tc>
          <w:tcPr>
            <w:tcW w:w="2250" w:type="dxa"/>
          </w:tcPr>
          <w:p w:rsidR="008A4DB2" w:rsidRDefault="00A64288" w:rsidP="009C053F">
            <w:r>
              <w:t>0.54mg/ml</w:t>
            </w:r>
          </w:p>
        </w:tc>
        <w:tc>
          <w:tcPr>
            <w:tcW w:w="1800" w:type="dxa"/>
          </w:tcPr>
          <w:p w:rsidR="00A64288" w:rsidRDefault="00A64288" w:rsidP="009C053F">
            <w:r>
              <w:t>0.04mg/kg</w:t>
            </w:r>
          </w:p>
        </w:tc>
        <w:tc>
          <w:tcPr>
            <w:tcW w:w="2610" w:type="dxa"/>
          </w:tcPr>
          <w:p w:rsidR="00A64288" w:rsidRPr="006A418A" w:rsidRDefault="00A64288" w:rsidP="00A64288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42.5x</m:t>
                    </m:r>
                    <m:r>
                      <w:rPr>
                        <w:rFonts w:ascii="Cambria Math" w:hAnsi="Cambria Math"/>
                      </w:rPr>
                      <m:t>0.04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0.54</m:t>
                    </m:r>
                  </m:den>
                </m:f>
                <m:r>
                  <w:rPr>
                    <w:rFonts w:ascii="Cambria Math" w:hAnsi="Cambria Math"/>
                  </w:rPr>
                  <m:t>=3.15</m:t>
                </m:r>
                <m:r>
                  <w:rPr>
                    <w:rFonts w:ascii="Cambria Math" w:hAnsi="Cambria Math"/>
                  </w:rPr>
                  <m:t xml:space="preserve">ml </m:t>
                </m:r>
              </m:oMath>
            </m:oMathPara>
          </w:p>
          <w:p w:rsidR="00A64288" w:rsidRDefault="00A64288" w:rsidP="00A64288">
            <w:pPr>
              <w:rPr>
                <w:rFonts w:eastAsiaTheme="minorEastAsia"/>
              </w:rPr>
            </w:pPr>
          </w:p>
          <w:p w:rsidR="008A4DB2" w:rsidRDefault="00A64288" w:rsidP="00A64288">
            <w:r>
              <w:rPr>
                <w:rFonts w:eastAsiaTheme="minorEastAsia"/>
              </w:rPr>
              <w:t>Amount given: was not required (0ml)</w:t>
            </w:r>
          </w:p>
        </w:tc>
        <w:tc>
          <w:tcPr>
            <w:tcW w:w="1800" w:type="dxa"/>
          </w:tcPr>
          <w:p w:rsidR="001504FD" w:rsidRPr="001504FD" w:rsidRDefault="001504FD" w:rsidP="001504FD">
            <w:r w:rsidRPr="001504FD">
              <w:t>Meat: 28 days</w:t>
            </w:r>
          </w:p>
          <w:p w:rsidR="001504FD" w:rsidRPr="001504FD" w:rsidRDefault="001504FD" w:rsidP="001504FD">
            <w:r w:rsidRPr="001504FD">
              <w:t>Milk: 6 days</w:t>
            </w:r>
          </w:p>
          <w:p w:rsidR="008A4DB2" w:rsidRDefault="008A4DB2" w:rsidP="009C053F"/>
        </w:tc>
        <w:tc>
          <w:tcPr>
            <w:tcW w:w="2875" w:type="dxa"/>
          </w:tcPr>
          <w:p w:rsidR="008A4DB2" w:rsidRPr="001504FD" w:rsidRDefault="001504FD" w:rsidP="001504FD">
            <w:r>
              <w:t xml:space="preserve">Emergency drug to </w:t>
            </w:r>
            <w:r w:rsidRPr="001504FD">
              <w:t xml:space="preserve">prevent or reduce respiratory tract secretions, treatment of sinus bradycardia and incomplete AV </w:t>
            </w:r>
            <w:r>
              <w:t xml:space="preserve">block which can arise due to </w:t>
            </w:r>
            <w:proofErr w:type="spellStart"/>
            <w:r>
              <w:t>anaesthesia</w:t>
            </w:r>
            <w:proofErr w:type="spellEnd"/>
            <w:r>
              <w:t xml:space="preserve"> drugs</w:t>
            </w:r>
            <w:r w:rsidR="00DB69F6">
              <w:t>. This is used only if bradycardia is below 30bpm</w:t>
            </w:r>
          </w:p>
        </w:tc>
      </w:tr>
      <w:tr w:rsidR="008A4DB2" w:rsidTr="00A64288">
        <w:tc>
          <w:tcPr>
            <w:tcW w:w="1615" w:type="dxa"/>
          </w:tcPr>
          <w:p w:rsidR="008A4DB2" w:rsidRDefault="008A4DB2" w:rsidP="009C053F">
            <w:r>
              <w:t>Epinephrine</w:t>
            </w:r>
          </w:p>
        </w:tc>
        <w:tc>
          <w:tcPr>
            <w:tcW w:w="2250" w:type="dxa"/>
          </w:tcPr>
          <w:p w:rsidR="008A4DB2" w:rsidRDefault="00A64288" w:rsidP="009C053F">
            <w:r>
              <w:t>1mg/ml</w:t>
            </w:r>
          </w:p>
        </w:tc>
        <w:tc>
          <w:tcPr>
            <w:tcW w:w="1800" w:type="dxa"/>
          </w:tcPr>
          <w:p w:rsidR="008A4DB2" w:rsidRDefault="00A64288" w:rsidP="009C053F">
            <w:r>
              <w:t>0.02mg/kg</w:t>
            </w:r>
          </w:p>
        </w:tc>
        <w:tc>
          <w:tcPr>
            <w:tcW w:w="2610" w:type="dxa"/>
          </w:tcPr>
          <w:p w:rsidR="00A64288" w:rsidRPr="006A418A" w:rsidRDefault="00A64288" w:rsidP="00A64288">
            <w:pPr>
              <w:rPr>
                <w:rFonts w:eastAsiaTheme="minorEastAsia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42.5x</m:t>
                    </m:r>
                    <m:r>
                      <w:rPr>
                        <w:rFonts w:ascii="Cambria Math" w:hAnsi="Cambria Math"/>
                      </w:rPr>
                      <m:t>0.02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</m:t>
                    </m:r>
                  </m:den>
                </m:f>
                <m:r>
                  <w:rPr>
                    <w:rFonts w:ascii="Cambria Math" w:hAnsi="Cambria Math"/>
                  </w:rPr>
                  <m:t>=0.85</m:t>
                </m:r>
                <m:r>
                  <w:rPr>
                    <w:rFonts w:ascii="Cambria Math" w:hAnsi="Cambria Math"/>
                  </w:rPr>
                  <m:t xml:space="preserve">ml </m:t>
                </m:r>
              </m:oMath>
            </m:oMathPara>
          </w:p>
          <w:p w:rsidR="00A64288" w:rsidRDefault="00A64288" w:rsidP="00A64288">
            <w:pPr>
              <w:rPr>
                <w:rFonts w:eastAsiaTheme="minorEastAsia"/>
              </w:rPr>
            </w:pPr>
          </w:p>
          <w:p w:rsidR="008A4DB2" w:rsidRDefault="00A64288" w:rsidP="00A64288">
            <w:r>
              <w:rPr>
                <w:rFonts w:eastAsiaTheme="minorEastAsia"/>
              </w:rPr>
              <w:t>Amount given: was not required (0ml)</w:t>
            </w:r>
          </w:p>
        </w:tc>
        <w:tc>
          <w:tcPr>
            <w:tcW w:w="1800" w:type="dxa"/>
          </w:tcPr>
          <w:p w:rsidR="008A4DB2" w:rsidRDefault="008A4DB2" w:rsidP="009C053F"/>
        </w:tc>
        <w:tc>
          <w:tcPr>
            <w:tcW w:w="2875" w:type="dxa"/>
          </w:tcPr>
          <w:p w:rsidR="008A4DB2" w:rsidRDefault="00DB69F6" w:rsidP="009C053F">
            <w:r>
              <w:t>Alpha and Beta adrenergic agonists. Used if severe anaphylactic reactions occur</w:t>
            </w:r>
          </w:p>
        </w:tc>
      </w:tr>
      <w:tr w:rsidR="008A4DB2" w:rsidTr="00A64288">
        <w:tc>
          <w:tcPr>
            <w:tcW w:w="1615" w:type="dxa"/>
          </w:tcPr>
          <w:p w:rsidR="008A4DB2" w:rsidRDefault="008A4DB2" w:rsidP="009C053F"/>
        </w:tc>
        <w:tc>
          <w:tcPr>
            <w:tcW w:w="2250" w:type="dxa"/>
          </w:tcPr>
          <w:p w:rsidR="008A4DB2" w:rsidRDefault="008A4DB2" w:rsidP="009C053F"/>
        </w:tc>
        <w:tc>
          <w:tcPr>
            <w:tcW w:w="1800" w:type="dxa"/>
          </w:tcPr>
          <w:p w:rsidR="008A4DB2" w:rsidRDefault="008A4DB2" w:rsidP="009C053F"/>
        </w:tc>
        <w:tc>
          <w:tcPr>
            <w:tcW w:w="2610" w:type="dxa"/>
          </w:tcPr>
          <w:p w:rsidR="008A4DB2" w:rsidRDefault="008A4DB2" w:rsidP="009C053F"/>
        </w:tc>
        <w:tc>
          <w:tcPr>
            <w:tcW w:w="1800" w:type="dxa"/>
          </w:tcPr>
          <w:p w:rsidR="008A4DB2" w:rsidRDefault="008A4DB2" w:rsidP="009C053F"/>
        </w:tc>
        <w:tc>
          <w:tcPr>
            <w:tcW w:w="2875" w:type="dxa"/>
          </w:tcPr>
          <w:p w:rsidR="008A4DB2" w:rsidRDefault="008A4DB2" w:rsidP="009C053F"/>
        </w:tc>
      </w:tr>
    </w:tbl>
    <w:p w:rsidR="008A4DB2" w:rsidRDefault="008A4DB2"/>
    <w:p w:rsidR="008A4DB2" w:rsidRDefault="008A4DB2"/>
    <w:p w:rsidR="00DB69F6" w:rsidRDefault="00DB69F6">
      <w:pPr>
        <w:rPr>
          <w:b/>
        </w:rPr>
      </w:pPr>
    </w:p>
    <w:p w:rsidR="008A4DB2" w:rsidRDefault="00DB69F6" w:rsidP="00DB69F6">
      <w:pPr>
        <w:spacing w:line="360" w:lineRule="auto"/>
        <w:rPr>
          <w:b/>
        </w:rPr>
      </w:pPr>
      <w:r>
        <w:rPr>
          <w:b/>
        </w:rPr>
        <w:lastRenderedPageBreak/>
        <w:t>CALCULATION OF EMERGENCY FLUID RATE IF REQUIRED:</w:t>
      </w:r>
    </w:p>
    <w:p w:rsidR="00DB69F6" w:rsidRDefault="00DB69F6" w:rsidP="00DB69F6">
      <w:pPr>
        <w:spacing w:line="360" w:lineRule="auto"/>
      </w:pPr>
    </w:p>
    <w:p w:rsidR="00DB69F6" w:rsidRDefault="00DB69F6" w:rsidP="00DB69F6">
      <w:pPr>
        <w:spacing w:line="360" w:lineRule="auto"/>
      </w:pPr>
      <w:r>
        <w:t xml:space="preserve">In cases where the animal may have a reaction to the </w:t>
      </w:r>
      <w:proofErr w:type="spellStart"/>
      <w:r>
        <w:t>anaesthetic</w:t>
      </w:r>
      <w:proofErr w:type="spellEnd"/>
      <w:r>
        <w:t xml:space="preserve"> drugs administered, the drip rate for the animal must be calculated in order to quickly stabilize the animal.</w:t>
      </w:r>
    </w:p>
    <w:p w:rsidR="00DB69F6" w:rsidRDefault="00DB69F6" w:rsidP="00DB69F6">
      <w:pPr>
        <w:spacing w:line="360" w:lineRule="auto"/>
      </w:pPr>
    </w:p>
    <w:p w:rsidR="00DB69F6" w:rsidRDefault="00DB69F6" w:rsidP="00DB69F6">
      <w:pPr>
        <w:spacing w:line="360" w:lineRule="auto"/>
      </w:pPr>
      <w:r>
        <w:t>Calculation of drip rate per second:</w:t>
      </w:r>
    </w:p>
    <w:p w:rsidR="00DB69F6" w:rsidRDefault="00DB69F6" w:rsidP="00DB69F6">
      <w:pPr>
        <w:spacing w:line="360" w:lineRule="auto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drip rate x drip factor</m:t>
              </m:r>
            </m:num>
            <m:den>
              <m:r>
                <w:rPr>
                  <w:rFonts w:ascii="Cambria Math" w:hAnsi="Cambria Math"/>
                </w:rPr>
                <m:t>60</m:t>
              </m:r>
            </m:den>
          </m:f>
          <m:r>
            <w:rPr>
              <w:rFonts w:ascii="Cambria Math" w:hAnsi="Cambria Math"/>
            </w:rPr>
            <m:t>=drops/sec</m:t>
          </m:r>
        </m:oMath>
      </m:oMathPara>
    </w:p>
    <w:p w:rsidR="00DB69F6" w:rsidRPr="00DB69F6" w:rsidRDefault="00DB69F6"/>
    <w:p w:rsidR="00DB69F6" w:rsidRDefault="00DB69F6">
      <w:pPr>
        <w:rPr>
          <w:b/>
        </w:rPr>
      </w:pPr>
    </w:p>
    <w:p w:rsidR="00DB69F6" w:rsidRDefault="00DB69F6" w:rsidP="00DB69F6">
      <w:pPr>
        <w:spacing w:line="360" w:lineRule="auto"/>
      </w:pPr>
      <w:r>
        <w:t>Drip rate = 10ml/min</w:t>
      </w:r>
    </w:p>
    <w:p w:rsidR="00DB69F6" w:rsidRDefault="00DB69F6" w:rsidP="00DB69F6">
      <w:pPr>
        <w:spacing w:line="360" w:lineRule="auto"/>
      </w:pPr>
      <w:r>
        <w:t>Drip factor = 20drops/ml</w:t>
      </w:r>
    </w:p>
    <w:p w:rsidR="00DB69F6" w:rsidRDefault="00DB69F6" w:rsidP="00DB69F6">
      <w:pPr>
        <w:spacing w:line="360" w:lineRule="auto"/>
      </w:pPr>
      <w:r>
        <w:t>Weight of animal = 42.5kg, therefore drip rate for animal = 42.5 x 10 = 425ml/min</w:t>
      </w:r>
    </w:p>
    <w:p w:rsidR="00DB69F6" w:rsidRDefault="00DB69F6" w:rsidP="0010361D">
      <w:pPr>
        <w:spacing w:line="360" w:lineRule="auto"/>
        <w:jc w:val="center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425</m:t>
            </m:r>
            <m:r>
              <w:rPr>
                <w:rFonts w:ascii="Cambria Math" w:hAnsi="Cambria Math"/>
                <w:sz w:val="28"/>
                <w:szCs w:val="28"/>
              </w:rPr>
              <m:t xml:space="preserve"> x </m:t>
            </m:r>
            <m:r>
              <w:rPr>
                <w:rFonts w:ascii="Cambria Math" w:hAnsi="Cambria Math"/>
                <w:sz w:val="28"/>
                <w:szCs w:val="28"/>
              </w:rPr>
              <m:t>20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60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141.67</m:t>
        </m:r>
      </m:oMath>
      <w:r w:rsidR="0010361D">
        <w:rPr>
          <w:rFonts w:eastAsiaTheme="minorEastAsia"/>
        </w:rPr>
        <w:t xml:space="preserve"> </w:t>
      </w:r>
      <w:proofErr w:type="gramStart"/>
      <w:r w:rsidR="0010361D">
        <w:rPr>
          <w:rFonts w:eastAsiaTheme="minorEastAsia"/>
        </w:rPr>
        <w:t>ml/min</w:t>
      </w:r>
      <w:proofErr w:type="gramEnd"/>
    </w:p>
    <w:p w:rsidR="0010361D" w:rsidRDefault="0010361D" w:rsidP="0010361D">
      <w:pPr>
        <w:spacing w:line="360" w:lineRule="auto"/>
        <w:rPr>
          <w:rFonts w:eastAsiaTheme="minorEastAsia"/>
        </w:rPr>
      </w:pPr>
      <w:r>
        <w:rPr>
          <w:rFonts w:eastAsiaTheme="minorEastAsia"/>
        </w:rPr>
        <w:t>To convert to per sec = 141.67/60 = 2.36drips/sec</w:t>
      </w:r>
    </w:p>
    <w:p w:rsidR="0010361D" w:rsidRDefault="0010361D" w:rsidP="0010361D">
      <w:pPr>
        <w:spacing w:line="360" w:lineRule="auto"/>
        <w:rPr>
          <w:rFonts w:eastAsiaTheme="minorEastAsia"/>
        </w:rPr>
      </w:pPr>
    </w:p>
    <w:p w:rsidR="0010361D" w:rsidRDefault="0010361D" w:rsidP="0010361D">
      <w:pPr>
        <w:spacing w:line="360" w:lineRule="auto"/>
      </w:pPr>
      <w:r>
        <w:rPr>
          <w:rFonts w:eastAsiaTheme="minorEastAsia"/>
        </w:rPr>
        <w:t>Therefore if the animal has to be administered IV fluids, the drip rate would be 2 drips/sec</w:t>
      </w:r>
      <w:bookmarkStart w:id="0" w:name="_GoBack"/>
      <w:bookmarkEnd w:id="0"/>
    </w:p>
    <w:p w:rsidR="00DB69F6" w:rsidRDefault="00DB69F6" w:rsidP="00DB69F6">
      <w:pPr>
        <w:spacing w:line="360" w:lineRule="auto"/>
      </w:pPr>
    </w:p>
    <w:p w:rsidR="00DB69F6" w:rsidRDefault="00DB69F6" w:rsidP="00DB69F6">
      <w:pPr>
        <w:spacing w:line="360" w:lineRule="auto"/>
      </w:pPr>
      <w:r>
        <w:tab/>
      </w:r>
    </w:p>
    <w:sectPr w:rsidR="00DB69F6" w:rsidSect="00437E3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3B"/>
    <w:rsid w:val="0010361D"/>
    <w:rsid w:val="001504FD"/>
    <w:rsid w:val="00437E3B"/>
    <w:rsid w:val="00537F63"/>
    <w:rsid w:val="008A4DB2"/>
    <w:rsid w:val="00A64288"/>
    <w:rsid w:val="00A717D6"/>
    <w:rsid w:val="00DB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2B00B9-9555-4BD6-8F0C-881DC6B9D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E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69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 Leng Achong</dc:creator>
  <cp:keywords/>
  <dc:description/>
  <cp:lastModifiedBy>Siew Leng Achong</cp:lastModifiedBy>
  <cp:revision>4</cp:revision>
  <dcterms:created xsi:type="dcterms:W3CDTF">2014-09-18T10:56:00Z</dcterms:created>
  <dcterms:modified xsi:type="dcterms:W3CDTF">2014-09-20T18:42:00Z</dcterms:modified>
</cp:coreProperties>
</file>