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BC4" w:rsidRDefault="0068798B" w:rsidP="00C45BC4">
      <w:pPr>
        <w:jc w:val="center"/>
        <w:rPr>
          <w:b/>
          <w:color w:val="FF0000"/>
        </w:rPr>
      </w:pPr>
      <w:r>
        <w:rPr>
          <w:b/>
          <w:color w:val="FF0000"/>
        </w:rPr>
        <w:t>BOMAZINE 2% (</w:t>
      </w:r>
      <w:r w:rsidR="00C45BC4">
        <w:rPr>
          <w:b/>
          <w:color w:val="FF0000"/>
        </w:rPr>
        <w:t>XYLAZINE</w:t>
      </w:r>
      <w:r>
        <w:rPr>
          <w:b/>
          <w:color w:val="FF0000"/>
        </w:rPr>
        <w:t xml:space="preserve"> 2%)</w:t>
      </w:r>
    </w:p>
    <w:p w:rsidR="00C45BC4" w:rsidRDefault="00C45BC4" w:rsidP="00C45BC4">
      <w:pPr>
        <w:jc w:val="center"/>
        <w:rPr>
          <w:b/>
          <w:color w:val="FF0000"/>
        </w:rPr>
      </w:pPr>
    </w:p>
    <w:p w:rsidR="00C45BC4" w:rsidRDefault="0068798B" w:rsidP="00C45BC4">
      <w:proofErr w:type="spellStart"/>
      <w:r w:rsidRPr="0068798B">
        <w:t>Bomazine</w:t>
      </w:r>
      <w:proofErr w:type="spellEnd"/>
      <w:r w:rsidRPr="0068798B">
        <w:t xml:space="preserve"> </w:t>
      </w:r>
      <w:r w:rsidRPr="0068798B">
        <w:t>2%</w:t>
      </w:r>
      <w:r>
        <w:t xml:space="preserve"> (</w:t>
      </w:r>
      <w:proofErr w:type="spellStart"/>
      <w:r>
        <w:t>Xylazine</w:t>
      </w:r>
      <w:proofErr w:type="spellEnd"/>
      <w:r w:rsidR="00C45BC4">
        <w:t xml:space="preserve"> 2%</w:t>
      </w:r>
      <w:r>
        <w:t>)</w:t>
      </w:r>
      <w:r w:rsidR="00C45BC4">
        <w:t xml:space="preserve"> = 20mg/ml</w:t>
      </w:r>
    </w:p>
    <w:p w:rsidR="00C45BC4" w:rsidRDefault="00C45BC4" w:rsidP="00C45BC4">
      <w:r>
        <w:t>Calf estimated weight = 120kg</w:t>
      </w:r>
    </w:p>
    <w:p w:rsidR="0068798B" w:rsidRDefault="0068798B" w:rsidP="00C45BC4">
      <w:r>
        <w:t>Dose = 0.05mg/kg</w:t>
      </w:r>
    </w:p>
    <w:p w:rsidR="00C45BC4" w:rsidRDefault="00C45BC4" w:rsidP="00C45BC4"/>
    <w:p w:rsidR="00C45BC4" w:rsidRDefault="00C45BC4" w:rsidP="00C45BC4">
      <w:pPr>
        <w:rPr>
          <w:b/>
        </w:rPr>
      </w:pPr>
      <w:r>
        <w:rPr>
          <w:b/>
        </w:rPr>
        <w:t>Calculation</w:t>
      </w:r>
    </w:p>
    <w:p w:rsidR="00C45BC4" w:rsidRDefault="00C45BC4" w:rsidP="00C45BC4">
      <w:r>
        <w:t xml:space="preserve">Amount to be administered using the dosage of </w:t>
      </w:r>
      <w:r w:rsidR="0068798B">
        <w:t>0.0</w:t>
      </w:r>
      <w:r>
        <w:t>5mg/kg</w:t>
      </w:r>
    </w:p>
    <w:p w:rsidR="00C45BC4" w:rsidRDefault="0068798B" w:rsidP="00C45BC4">
      <w:pPr>
        <w:rPr>
          <w:rFonts w:eastAsiaTheme="minorEastAsia"/>
        </w:rPr>
      </w:pPr>
      <w:proofErr w:type="spellStart"/>
      <w:r>
        <w:t>Bomazine</w:t>
      </w:r>
      <w:proofErr w:type="spellEnd"/>
      <w:r w:rsidR="00C45BC4">
        <w:t xml:space="preserve"> 2% = </w:t>
      </w:r>
      <m:oMath>
        <m:f>
          <m:fPr>
            <m:ctrlPr>
              <w:rPr>
                <w:rFonts w:ascii="Cambria Math" w:hAnsi="Cambria Math"/>
              </w:rPr>
            </m:ctrlPr>
          </m:fPr>
          <m:num>
            <m:r>
              <m:rPr>
                <m:sty m:val="p"/>
              </m:rPr>
              <w:rPr>
                <w:rFonts w:ascii="Cambria Math" w:hAnsi="Cambria Math"/>
              </w:rPr>
              <m:t>120kg x 0.05</m:t>
            </m:r>
            <m:r>
              <m:rPr>
                <m:sty m:val="p"/>
              </m:rPr>
              <w:rPr>
                <w:rFonts w:ascii="Cambria Math" w:hAnsi="Cambria Math"/>
              </w:rPr>
              <m:t>mg/kg</m:t>
            </m:r>
          </m:num>
          <m:den>
            <m:r>
              <m:rPr>
                <m:sty m:val="p"/>
              </m:rPr>
              <w:rPr>
                <w:rFonts w:ascii="Cambria Math" w:hAnsi="Cambria Math"/>
              </w:rPr>
              <m:t>20mg/ml</m:t>
            </m:r>
          </m:den>
        </m:f>
      </m:oMath>
      <w:r>
        <w:rPr>
          <w:rFonts w:eastAsiaTheme="minorEastAsia"/>
        </w:rPr>
        <w:t xml:space="preserve"> = 0.3</w:t>
      </w:r>
      <w:r w:rsidR="00C45BC4">
        <w:rPr>
          <w:rFonts w:eastAsiaTheme="minorEastAsia"/>
        </w:rPr>
        <w:t>ml</w:t>
      </w:r>
    </w:p>
    <w:p w:rsidR="00C45BC4" w:rsidRDefault="00C45BC4" w:rsidP="00C45BC4">
      <w:pPr>
        <w:rPr>
          <w:rFonts w:eastAsiaTheme="minorEastAsia"/>
        </w:rPr>
      </w:pPr>
    </w:p>
    <w:p w:rsidR="00C45BC4" w:rsidRDefault="004E4D3B" w:rsidP="00C45BC4">
      <w:pPr>
        <w:rPr>
          <w:rFonts w:eastAsiaTheme="minorEastAsia"/>
          <w:b/>
        </w:rPr>
      </w:pPr>
      <w:r>
        <w:rPr>
          <w:rFonts w:eastAsiaTheme="minorEastAsia"/>
          <w:b/>
        </w:rPr>
        <w:t>Use:</w:t>
      </w:r>
    </w:p>
    <w:p w:rsidR="004E4D3B" w:rsidRDefault="004E4D3B" w:rsidP="00C45BC4">
      <w:pPr>
        <w:rPr>
          <w:shd w:val="clear" w:color="auto" w:fill="FFFFFF"/>
        </w:rPr>
      </w:pPr>
      <w:r w:rsidRPr="004E4D3B">
        <w:rPr>
          <w:shd w:val="clear" w:color="auto" w:fill="FFFFFF"/>
        </w:rPr>
        <w:t>Sedation, analgesia and muscle relaxation</w:t>
      </w:r>
    </w:p>
    <w:p w:rsidR="004E4D3B" w:rsidRPr="004E4D3B" w:rsidRDefault="004E4D3B" w:rsidP="00C45BC4">
      <w:pPr>
        <w:rPr>
          <w:rFonts w:eastAsiaTheme="minorEastAsia"/>
        </w:rPr>
      </w:pPr>
    </w:p>
    <w:p w:rsidR="00C45BC4" w:rsidRDefault="00C45BC4" w:rsidP="00C45BC4">
      <w:pPr>
        <w:rPr>
          <w:rFonts w:eastAsiaTheme="minorEastAsia"/>
          <w:b/>
        </w:rPr>
      </w:pPr>
      <w:r>
        <w:rPr>
          <w:rFonts w:eastAsiaTheme="minorEastAsia"/>
          <w:b/>
        </w:rPr>
        <w:t>Contraindications</w:t>
      </w:r>
    </w:p>
    <w:p w:rsidR="00C45BC4" w:rsidRDefault="00C45BC4" w:rsidP="00C45BC4">
      <w:pPr>
        <w:rPr>
          <w:rFonts w:eastAsiaTheme="minorEastAsia"/>
        </w:rPr>
      </w:pPr>
      <w:r>
        <w:rPr>
          <w:rFonts w:eastAsiaTheme="minorEastAsia"/>
        </w:rPr>
        <w:t xml:space="preserve">Do not use in </w:t>
      </w:r>
      <w:r w:rsidR="004E4D3B">
        <w:rPr>
          <w:rFonts w:eastAsiaTheme="minorEastAsia"/>
        </w:rPr>
        <w:t>weak or debilitated animals. Do not give in animals that receive epinephrine or have active ventricular arrhythmias. Used with extreme caution in animals with cardiac dysfunction, hypotension, shock, respiratory dysfunction, severe hepatic or renal insufficiency. This drug is not approved for use in food animals.</w:t>
      </w:r>
    </w:p>
    <w:p w:rsidR="004E4D3B" w:rsidRDefault="004E4D3B" w:rsidP="00C45BC4">
      <w:pPr>
        <w:rPr>
          <w:rFonts w:eastAsiaTheme="minorEastAsia"/>
        </w:rPr>
      </w:pPr>
    </w:p>
    <w:p w:rsidR="004E4D3B" w:rsidRDefault="004E4D3B" w:rsidP="00C45BC4">
      <w:pPr>
        <w:rPr>
          <w:rFonts w:eastAsiaTheme="minorEastAsia"/>
          <w:b/>
        </w:rPr>
      </w:pPr>
      <w:r>
        <w:rPr>
          <w:rFonts w:eastAsiaTheme="minorEastAsia"/>
          <w:b/>
        </w:rPr>
        <w:t>Other information</w:t>
      </w:r>
    </w:p>
    <w:p w:rsidR="004E4D3B" w:rsidRPr="004E4D3B" w:rsidRDefault="004E4D3B" w:rsidP="00C45BC4">
      <w:pPr>
        <w:rPr>
          <w:rFonts w:eastAsiaTheme="minorEastAsia"/>
        </w:rPr>
      </w:pPr>
      <w:r>
        <w:rPr>
          <w:rFonts w:eastAsiaTheme="minorEastAsia"/>
        </w:rPr>
        <w:t xml:space="preserve">0.3mls of </w:t>
      </w:r>
      <w:proofErr w:type="spellStart"/>
      <w:r>
        <w:rPr>
          <w:rFonts w:eastAsiaTheme="minorEastAsia"/>
        </w:rPr>
        <w:t>Bomazine</w:t>
      </w:r>
      <w:proofErr w:type="spellEnd"/>
      <w:r>
        <w:rPr>
          <w:rFonts w:eastAsiaTheme="minorEastAsia"/>
        </w:rPr>
        <w:t xml:space="preserve"> 2% (</w:t>
      </w:r>
      <w:proofErr w:type="spellStart"/>
      <w:r>
        <w:rPr>
          <w:rFonts w:eastAsiaTheme="minorEastAsia"/>
        </w:rPr>
        <w:t>Xylazine</w:t>
      </w:r>
      <w:proofErr w:type="spellEnd"/>
      <w:r>
        <w:rPr>
          <w:rFonts w:eastAsiaTheme="minorEastAsia"/>
        </w:rPr>
        <w:t xml:space="preserve"> 2%) was drawn in a 1ml syringe. The syringe was then filled to the 1ml mark with saline. This is to ensure that the animal received all of the drug for maximum effect.</w:t>
      </w:r>
      <w:bookmarkStart w:id="0" w:name="_GoBack"/>
      <w:bookmarkEnd w:id="0"/>
    </w:p>
    <w:p w:rsidR="00C45BC4" w:rsidRDefault="00C45BC4" w:rsidP="00C45BC4">
      <w:pPr>
        <w:rPr>
          <w:rFonts w:eastAsiaTheme="minorEastAsia"/>
        </w:rPr>
      </w:pPr>
    </w:p>
    <w:p w:rsidR="00C45BC4" w:rsidRDefault="00C45BC4" w:rsidP="00C45BC4">
      <w:pPr>
        <w:rPr>
          <w:rFonts w:eastAsiaTheme="minorEastAsia"/>
          <w:b/>
        </w:rPr>
      </w:pPr>
      <w:r>
        <w:rPr>
          <w:rFonts w:eastAsiaTheme="minorEastAsia"/>
          <w:b/>
        </w:rPr>
        <w:t>Route of administration</w:t>
      </w:r>
    </w:p>
    <w:p w:rsidR="00C45BC4" w:rsidRDefault="0068798B" w:rsidP="00C45BC4">
      <w:pPr>
        <w:rPr>
          <w:rFonts w:eastAsiaTheme="minorEastAsia"/>
        </w:rPr>
      </w:pPr>
      <w:r>
        <w:rPr>
          <w:rFonts w:eastAsiaTheme="minorEastAsia"/>
        </w:rPr>
        <w:t>Intramuscular</w:t>
      </w:r>
    </w:p>
    <w:p w:rsidR="00C45BC4" w:rsidRDefault="00C45BC4" w:rsidP="00C45BC4">
      <w:pPr>
        <w:rPr>
          <w:rFonts w:eastAsiaTheme="minorEastAsia"/>
        </w:rPr>
      </w:pPr>
    </w:p>
    <w:p w:rsidR="00C45BC4" w:rsidRDefault="00C45BC4" w:rsidP="00C45BC4">
      <w:pPr>
        <w:rPr>
          <w:rFonts w:eastAsiaTheme="minorEastAsia"/>
        </w:rPr>
      </w:pPr>
    </w:p>
    <w:p w:rsidR="00C45BC4" w:rsidRDefault="00C45BC4" w:rsidP="00C45BC4">
      <w:pPr>
        <w:rPr>
          <w:rFonts w:eastAsiaTheme="minorEastAsia"/>
          <w:b/>
        </w:rPr>
      </w:pPr>
      <w:r>
        <w:rPr>
          <w:rFonts w:eastAsiaTheme="minorEastAsia"/>
          <w:b/>
        </w:rPr>
        <w:t>Reference</w:t>
      </w:r>
    </w:p>
    <w:p w:rsidR="00C45BC4" w:rsidRPr="002E735A" w:rsidRDefault="00C45BC4" w:rsidP="00C45BC4">
      <w:pPr>
        <w:rPr>
          <w:rFonts w:eastAsiaTheme="minorEastAsia"/>
        </w:rPr>
      </w:pPr>
      <w:r>
        <w:rPr>
          <w:rFonts w:eastAsiaTheme="minorEastAsia"/>
        </w:rPr>
        <w:t>Plumb, D.C., 2011, Plumb’s Veterinary Drug Handbook, 7</w:t>
      </w:r>
      <w:r w:rsidRPr="002E735A">
        <w:rPr>
          <w:rFonts w:eastAsiaTheme="minorEastAsia"/>
          <w:vertAlign w:val="superscript"/>
        </w:rPr>
        <w:t>th</w:t>
      </w:r>
      <w:r>
        <w:rPr>
          <w:rFonts w:eastAsiaTheme="minorEastAsia"/>
        </w:rPr>
        <w:t xml:space="preserve"> </w:t>
      </w:r>
      <w:proofErr w:type="spellStart"/>
      <w:proofErr w:type="gramStart"/>
      <w:r>
        <w:rPr>
          <w:rFonts w:eastAsiaTheme="minorEastAsia"/>
        </w:rPr>
        <w:t>ed</w:t>
      </w:r>
      <w:proofErr w:type="spellEnd"/>
      <w:proofErr w:type="gramEnd"/>
      <w:r>
        <w:rPr>
          <w:rFonts w:eastAsiaTheme="minorEastAsia"/>
        </w:rPr>
        <w:t xml:space="preserve">, </w:t>
      </w:r>
      <w:proofErr w:type="spellStart"/>
      <w:r>
        <w:rPr>
          <w:rFonts w:eastAsiaTheme="minorEastAsia"/>
        </w:rPr>
        <w:t>PharmaVet</w:t>
      </w:r>
      <w:proofErr w:type="spellEnd"/>
      <w:r>
        <w:rPr>
          <w:rFonts w:eastAsiaTheme="minorEastAsia"/>
        </w:rPr>
        <w:t xml:space="preserve"> </w:t>
      </w:r>
      <w:proofErr w:type="spellStart"/>
      <w:r>
        <w:rPr>
          <w:rFonts w:eastAsiaTheme="minorEastAsia"/>
        </w:rPr>
        <w:t>Inc</w:t>
      </w:r>
      <w:proofErr w:type="spellEnd"/>
      <w:r>
        <w:rPr>
          <w:rFonts w:eastAsiaTheme="minorEastAsia"/>
        </w:rPr>
        <w:t>, Willey-Blackwell, Wisconsin</w:t>
      </w:r>
    </w:p>
    <w:p w:rsidR="00C45BC4" w:rsidRPr="001910CA" w:rsidRDefault="00C45BC4" w:rsidP="00C45BC4"/>
    <w:p w:rsidR="00C45BC4" w:rsidRDefault="00C45BC4" w:rsidP="00C45BC4">
      <w:pPr>
        <w:jc w:val="center"/>
      </w:pPr>
    </w:p>
    <w:p w:rsidR="00A717D6" w:rsidRDefault="00A717D6"/>
    <w:sectPr w:rsidR="00A71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C4"/>
    <w:rsid w:val="004E4D3B"/>
    <w:rsid w:val="0068798B"/>
    <w:rsid w:val="00A717D6"/>
    <w:rsid w:val="00C4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13CA3-1A0A-4719-9EFF-370C30E2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Siew Leng Achong</dc:creator>
  <cp:keywords/>
  <dc:description/>
  <cp:lastModifiedBy>Siew Leng Achong</cp:lastModifiedBy>
  <cp:revision>3</cp:revision>
  <dcterms:created xsi:type="dcterms:W3CDTF">2014-09-14T00:55:00Z</dcterms:created>
  <dcterms:modified xsi:type="dcterms:W3CDTF">2014-09-14T01:04:00Z</dcterms:modified>
</cp:coreProperties>
</file>