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D6" w:rsidRDefault="001910CA" w:rsidP="001910CA">
      <w:pPr>
        <w:jc w:val="center"/>
        <w:rPr>
          <w:b/>
          <w:color w:val="FF0000"/>
        </w:rPr>
      </w:pPr>
      <w:r w:rsidRPr="001910CA">
        <w:rPr>
          <w:b/>
          <w:color w:val="FF0000"/>
        </w:rPr>
        <w:t>LIDOCAINE</w:t>
      </w:r>
    </w:p>
    <w:p w:rsidR="001910CA" w:rsidRDefault="001910CA" w:rsidP="001910CA">
      <w:pPr>
        <w:jc w:val="center"/>
        <w:rPr>
          <w:b/>
          <w:color w:val="FF0000"/>
        </w:rPr>
      </w:pPr>
    </w:p>
    <w:p w:rsidR="001910CA" w:rsidRDefault="001910CA" w:rsidP="001910CA">
      <w:r>
        <w:t>Lidocaine 2% = 20mg/ml</w:t>
      </w:r>
    </w:p>
    <w:p w:rsidR="001910CA" w:rsidRDefault="001910CA" w:rsidP="001910CA">
      <w:r>
        <w:t>Calf estimated weight = 120kg</w:t>
      </w:r>
    </w:p>
    <w:p w:rsidR="001910CA" w:rsidRDefault="001910CA" w:rsidP="001910CA">
      <w:r>
        <w:t>Toxic Dose of Lidocaine = 10mg/kg, however dosage of 5mg/kg was utilized</w:t>
      </w:r>
    </w:p>
    <w:p w:rsidR="001910CA" w:rsidRDefault="001910CA" w:rsidP="001910CA">
      <w:r>
        <w:t xml:space="preserve">Even though only 5ml of Lidocaine 2% was being utilized in both horns for the lateral </w:t>
      </w:r>
      <w:proofErr w:type="spellStart"/>
      <w:r>
        <w:t>cornual</w:t>
      </w:r>
      <w:proofErr w:type="spellEnd"/>
      <w:r>
        <w:t xml:space="preserve"> nerve block, the calculation on how much Lidocaine can be administered as a local </w:t>
      </w:r>
      <w:proofErr w:type="spellStart"/>
      <w:r>
        <w:t>anaesthetic</w:t>
      </w:r>
      <w:proofErr w:type="spellEnd"/>
      <w:r>
        <w:t xml:space="preserve"> was done.</w:t>
      </w:r>
    </w:p>
    <w:p w:rsidR="001910CA" w:rsidRDefault="001910CA" w:rsidP="001910CA"/>
    <w:p w:rsidR="001910CA" w:rsidRDefault="001910CA" w:rsidP="001910CA">
      <w:pPr>
        <w:rPr>
          <w:b/>
        </w:rPr>
      </w:pPr>
      <w:r>
        <w:rPr>
          <w:b/>
        </w:rPr>
        <w:t>Calculation</w:t>
      </w:r>
    </w:p>
    <w:p w:rsidR="001910CA" w:rsidRDefault="001910CA" w:rsidP="001910CA">
      <w:r>
        <w:t>Amount to be administered using the dosage of 5mg/kg</w:t>
      </w:r>
    </w:p>
    <w:p w:rsidR="001910CA" w:rsidRDefault="001910CA" w:rsidP="001910CA">
      <w:pPr>
        <w:rPr>
          <w:rFonts w:eastAsiaTheme="minorEastAsia"/>
        </w:rPr>
      </w:pPr>
      <w:r>
        <w:t xml:space="preserve">Lidocaine 2%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120kg x 5mg/kg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20mg/ml</m:t>
            </m:r>
          </m:den>
        </m:f>
      </m:oMath>
      <w:r>
        <w:rPr>
          <w:rFonts w:eastAsiaTheme="minorEastAsia"/>
        </w:rPr>
        <w:t xml:space="preserve"> = 30ml</w:t>
      </w:r>
    </w:p>
    <w:p w:rsidR="001910CA" w:rsidRDefault="001910CA" w:rsidP="001910CA">
      <w:pPr>
        <w:rPr>
          <w:rFonts w:eastAsiaTheme="minorEastAsia"/>
        </w:rPr>
      </w:pPr>
    </w:p>
    <w:p w:rsidR="001910CA" w:rsidRDefault="001910CA" w:rsidP="001910CA">
      <w:pPr>
        <w:rPr>
          <w:rFonts w:eastAsiaTheme="minorEastAsia"/>
        </w:rPr>
      </w:pPr>
    </w:p>
    <w:p w:rsidR="001910CA" w:rsidRDefault="001910CA" w:rsidP="001910CA">
      <w:pPr>
        <w:rPr>
          <w:rFonts w:eastAsiaTheme="minorEastAsia"/>
          <w:b/>
        </w:rPr>
      </w:pPr>
      <w:r>
        <w:rPr>
          <w:rFonts w:eastAsiaTheme="minorEastAsia"/>
          <w:b/>
        </w:rPr>
        <w:t>Contraindications</w:t>
      </w:r>
    </w:p>
    <w:p w:rsidR="001910CA" w:rsidRDefault="001910CA" w:rsidP="001910CA">
      <w:pPr>
        <w:rPr>
          <w:rFonts w:eastAsiaTheme="minorEastAsia"/>
        </w:rPr>
      </w:pPr>
      <w:r>
        <w:rPr>
          <w:rFonts w:eastAsiaTheme="minorEastAsia"/>
        </w:rPr>
        <w:t xml:space="preserve">Do not use in patients with known hypersensitivity to amide class local anesthetics, severe degree of SA node, AV node or </w:t>
      </w:r>
      <w:proofErr w:type="spellStart"/>
      <w:r>
        <w:rPr>
          <w:rFonts w:eastAsiaTheme="minorEastAsia"/>
        </w:rPr>
        <w:t>intraventricular</w:t>
      </w:r>
      <w:proofErr w:type="spellEnd"/>
      <w:r>
        <w:rPr>
          <w:rFonts w:eastAsiaTheme="minorEastAsia"/>
        </w:rPr>
        <w:t xml:space="preserve"> heart </w:t>
      </w:r>
      <w:proofErr w:type="gramStart"/>
      <w:r>
        <w:rPr>
          <w:rFonts w:eastAsiaTheme="minorEastAsia"/>
        </w:rPr>
        <w:t>block.</w:t>
      </w:r>
      <w:proofErr w:type="gramEnd"/>
      <w:r>
        <w:rPr>
          <w:rFonts w:eastAsiaTheme="minorEastAsia"/>
        </w:rPr>
        <w:t xml:space="preserve"> Also use with caution in patients with liver disease, congestive heart failure, shock, </w:t>
      </w:r>
      <w:proofErr w:type="spellStart"/>
      <w:r>
        <w:rPr>
          <w:rFonts w:eastAsiaTheme="minorEastAsia"/>
        </w:rPr>
        <w:t>hypovolaemia</w:t>
      </w:r>
      <w:proofErr w:type="spellEnd"/>
      <w:r>
        <w:rPr>
          <w:rFonts w:eastAsiaTheme="minorEastAsia"/>
        </w:rPr>
        <w:t>, severe respiratory depression or hypoxia.</w:t>
      </w:r>
      <w:r w:rsidR="00BC27A1">
        <w:rPr>
          <w:rFonts w:eastAsiaTheme="minorEastAsia"/>
        </w:rPr>
        <w:t xml:space="preserve"> Lidocaine is also used to treat ventricular arrhythmias, besides being a local </w:t>
      </w:r>
      <w:proofErr w:type="spellStart"/>
      <w:r w:rsidR="00BC27A1">
        <w:rPr>
          <w:rFonts w:eastAsiaTheme="minorEastAsia"/>
        </w:rPr>
        <w:t>anaesthetic</w:t>
      </w:r>
      <w:proofErr w:type="spellEnd"/>
      <w:r w:rsidR="00BC27A1">
        <w:rPr>
          <w:rFonts w:eastAsiaTheme="minorEastAsia"/>
        </w:rPr>
        <w:t>, therefore constant monitoring is required (especially heart rate, pulse rate and respiratory rate)</w:t>
      </w:r>
    </w:p>
    <w:p w:rsidR="00BC27A1" w:rsidRDefault="00BC27A1" w:rsidP="001910CA">
      <w:pPr>
        <w:rPr>
          <w:rFonts w:eastAsiaTheme="minorEastAsia"/>
        </w:rPr>
      </w:pPr>
    </w:p>
    <w:p w:rsidR="00BC27A1" w:rsidRDefault="00BC27A1" w:rsidP="001910CA">
      <w:pPr>
        <w:rPr>
          <w:rFonts w:eastAsiaTheme="minorEastAsia"/>
          <w:b/>
        </w:rPr>
      </w:pPr>
      <w:r>
        <w:rPr>
          <w:rFonts w:eastAsiaTheme="minorEastAsia"/>
          <w:b/>
        </w:rPr>
        <w:t>Route of administration</w:t>
      </w:r>
    </w:p>
    <w:p w:rsidR="00BC27A1" w:rsidRDefault="00BC27A1" w:rsidP="001910CA">
      <w:pPr>
        <w:rPr>
          <w:rFonts w:eastAsiaTheme="minorEastAsia"/>
        </w:rPr>
      </w:pPr>
      <w:r>
        <w:rPr>
          <w:rFonts w:eastAsiaTheme="minorEastAsia"/>
        </w:rPr>
        <w:t>Subcutaneous</w:t>
      </w:r>
    </w:p>
    <w:p w:rsidR="002E735A" w:rsidRDefault="002E735A" w:rsidP="001910CA">
      <w:pPr>
        <w:rPr>
          <w:rFonts w:eastAsiaTheme="minorEastAsia"/>
        </w:rPr>
      </w:pPr>
    </w:p>
    <w:p w:rsidR="002E735A" w:rsidRDefault="002E735A" w:rsidP="001910CA">
      <w:pPr>
        <w:rPr>
          <w:rFonts w:eastAsiaTheme="minorEastAsia"/>
        </w:rPr>
      </w:pPr>
    </w:p>
    <w:p w:rsidR="002E735A" w:rsidRDefault="002E735A" w:rsidP="001910CA">
      <w:pPr>
        <w:rPr>
          <w:rFonts w:eastAsiaTheme="minorEastAsia"/>
          <w:b/>
        </w:rPr>
      </w:pPr>
      <w:r>
        <w:rPr>
          <w:rFonts w:eastAsiaTheme="minorEastAsia"/>
          <w:b/>
        </w:rPr>
        <w:t>Reference</w:t>
      </w:r>
    </w:p>
    <w:p w:rsidR="002E735A" w:rsidRPr="002E735A" w:rsidRDefault="002E735A" w:rsidP="001910CA">
      <w:pPr>
        <w:rPr>
          <w:rFonts w:eastAsiaTheme="minorEastAsia"/>
        </w:rPr>
      </w:pPr>
      <w:bookmarkStart w:id="0" w:name="_GoBack"/>
      <w:r>
        <w:rPr>
          <w:rFonts w:eastAsiaTheme="minorEastAsia"/>
        </w:rPr>
        <w:t>Plumb, D.C., 2011, Plumb’s Veterinary Drug Handbook, 7</w:t>
      </w:r>
      <w:r w:rsidRPr="002E735A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ed</w:t>
      </w:r>
      <w:proofErr w:type="spellEnd"/>
      <w:proofErr w:type="gram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PharmaVet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Inc</w:t>
      </w:r>
      <w:proofErr w:type="spellEnd"/>
      <w:r>
        <w:rPr>
          <w:rFonts w:eastAsiaTheme="minorEastAsia"/>
        </w:rPr>
        <w:t>, Willey-Blackwell, Wisconsin</w:t>
      </w:r>
    </w:p>
    <w:bookmarkEnd w:id="0"/>
    <w:p w:rsidR="001910CA" w:rsidRPr="001910CA" w:rsidRDefault="001910CA" w:rsidP="001910CA"/>
    <w:p w:rsidR="001910CA" w:rsidRDefault="001910CA" w:rsidP="001910CA">
      <w:pPr>
        <w:jc w:val="center"/>
      </w:pPr>
    </w:p>
    <w:sectPr w:rsidR="00191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CA"/>
    <w:rsid w:val="001910CA"/>
    <w:rsid w:val="002E735A"/>
    <w:rsid w:val="00A717D6"/>
    <w:rsid w:val="00B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CB10F-AADC-432E-85BF-F7B0AF8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Leng Achong</dc:creator>
  <cp:keywords/>
  <dc:description/>
  <cp:lastModifiedBy>Siew Leng Achong</cp:lastModifiedBy>
  <cp:revision>2</cp:revision>
  <dcterms:created xsi:type="dcterms:W3CDTF">2014-09-14T00:37:00Z</dcterms:created>
  <dcterms:modified xsi:type="dcterms:W3CDTF">2014-09-14T00:54:00Z</dcterms:modified>
</cp:coreProperties>
</file>