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F61" w:rsidRDefault="00742F61" w:rsidP="00742F61">
      <w:pPr>
        <w:pStyle w:val="Ttulo3"/>
        <w:numPr>
          <w:ilvl w:val="3"/>
          <w:numId w:val="2"/>
        </w:numPr>
        <w:suppressAutoHyphens w:val="0"/>
        <w:rPr>
          <w:lang w:val="es-ES"/>
        </w:rPr>
      </w:pPr>
      <w:r>
        <w:rPr>
          <w:lang w:val="eu-ES"/>
        </w:rPr>
        <w:t>Irakurketa partekatua</w:t>
      </w:r>
      <w:r>
        <w:rPr>
          <w:rStyle w:val="Refdenotaalpie"/>
          <w:rFonts w:ascii="Arial0" w:hAnsi="Arial0" w:cs="Arial0"/>
          <w:b w:val="0"/>
          <w:bCs w:val="0"/>
          <w:i/>
          <w:iCs/>
          <w:sz w:val="22"/>
          <w:szCs w:val="22"/>
          <w:lang w:val="eu-ES"/>
        </w:rPr>
        <w:footnoteReference w:id="1"/>
      </w:r>
    </w:p>
    <w:p w:rsidR="00742F61" w:rsidRDefault="00742F61" w:rsidP="00742F61">
      <w:pPr>
        <w:rPr>
          <w:lang w:val="es-ES"/>
        </w:rPr>
      </w:pPr>
      <w:r>
        <w:rPr>
          <w:lang w:val="eu-ES"/>
        </w:rPr>
        <w:t>Testuak.  esate baterako, testuliburuko unitate didaktiko bateko sarrera, modu partekatuan irakur litezke.</w:t>
      </w:r>
      <w:r>
        <w:rPr>
          <w:lang w:val="es-ES"/>
        </w:rPr>
        <w:t xml:space="preserve"> </w:t>
      </w:r>
      <w:r>
        <w:rPr>
          <w:lang w:val="eu-ES"/>
        </w:rPr>
        <w:t>Taldekide batek lehendabiziko paragrafoa irakurriko du.</w:t>
      </w:r>
      <w:r>
        <w:rPr>
          <w:lang w:val="es-ES"/>
        </w:rPr>
        <w:t xml:space="preserve"> </w:t>
      </w:r>
      <w:r>
        <w:rPr>
          <w:lang w:val="eu-ES"/>
        </w:rPr>
        <w:t>Gainerakoek oso adi egon beharko dute; izan ere, hurrengoak (erloju-orratzen noranzkoari jarraituta, adibidez) aurreko kideak irakurritakoa azaldu edo horren laburpena egin beharko du, eta beste bik zuzena edo okerra den esan beharko dute, edo bigarrenak esandakoarekin ados dauden edo ez.</w:t>
      </w:r>
      <w:r>
        <w:rPr>
          <w:lang w:val="es-ES"/>
        </w:rPr>
        <w:t xml:space="preserve"> </w:t>
      </w:r>
    </w:p>
    <w:p w:rsidR="00742F61" w:rsidRPr="001E6929" w:rsidRDefault="00742F61" w:rsidP="00742F61">
      <w:pPr>
        <w:rPr>
          <w:lang w:val="eu-ES"/>
        </w:rPr>
      </w:pPr>
      <w:r>
        <w:rPr>
          <w:lang w:val="eu-ES"/>
        </w:rPr>
        <w:t>Hurrengo ikasleak (bigarrenak; alegia, lehendabiziko paragrafoaren laburpena egin duenak) bigarren paragrafoa irakurriko du, eta hurrengo ikasleak (hirugarrenak) horren laburpena egingo du. Ondoren, beste bi ikaslek (laugarrenak eta lehenengoak) laburpena zuzena edo okerra den esango dute.</w:t>
      </w:r>
      <w:r w:rsidRPr="001E6929">
        <w:rPr>
          <w:lang w:val="eu-ES"/>
        </w:rPr>
        <w:t xml:space="preserve"> </w:t>
      </w:r>
    </w:p>
    <w:p w:rsidR="00742F61" w:rsidRDefault="00742F61" w:rsidP="00742F61">
      <w:pPr>
        <w:rPr>
          <w:lang w:val="es-ES"/>
        </w:rPr>
      </w:pPr>
      <w:r>
        <w:rPr>
          <w:lang w:val="eu-ES"/>
        </w:rPr>
        <w:t>Hala, bata bestearen segidan, testu osoa irakurri arte.</w:t>
      </w:r>
      <w:r>
        <w:rPr>
          <w:lang w:val="es-ES"/>
        </w:rPr>
        <w:t xml:space="preserve"> </w:t>
      </w:r>
    </w:p>
    <w:p w:rsidR="00742F61" w:rsidRPr="001E6929" w:rsidRDefault="00742F61" w:rsidP="00742F61">
      <w:pPr>
        <w:rPr>
          <w:lang w:val="eu-ES"/>
        </w:rPr>
      </w:pPr>
      <w:r>
        <w:rPr>
          <w:lang w:val="eu-ES"/>
        </w:rPr>
        <w:t>Testuan inork ulertzen ez duen esamolderik edo hitzik agertzen bada, hiztegian kontsulta egingo dute; horren ostean ere ulertzen ez badute, taldeko bozeramaileak irakaslea jakinaren gainean jarriko du. Hala, irakasleak gainerako taldeei galdetuko die ea hitza ezagutzen duten eta ea lagun dezaketen, gainerakoak ere testu bera irakurtzen arituko baitira.</w:t>
      </w:r>
      <w:r w:rsidRPr="001E6929">
        <w:rPr>
          <w:lang w:val="eu-ES"/>
        </w:rPr>
        <w:t xml:space="preserve"> </w:t>
      </w:r>
      <w:r>
        <w:rPr>
          <w:lang w:val="eu-ES"/>
        </w:rPr>
        <w:t>Hala baldin bada, ozen azalduko du; gainera, hitz edo esamolde horren zentzua nola aurkitu duten argituko du.</w:t>
      </w:r>
    </w:p>
    <w:p w:rsidR="00742F61" w:rsidRPr="001E6929" w:rsidRDefault="00742F61" w:rsidP="00742F61">
      <w:pPr>
        <w:spacing w:before="240" w:after="120"/>
        <w:rPr>
          <w:i/>
          <w:iCs/>
          <w:lang w:val="eu-ES"/>
        </w:rPr>
      </w:pPr>
      <w:r>
        <w:rPr>
          <w:i/>
          <w:iCs/>
          <w:lang w:val="eu-ES"/>
        </w:rPr>
        <w:t>Aldaera:</w:t>
      </w:r>
    </w:p>
    <w:p w:rsidR="00742F61" w:rsidRPr="001E6929" w:rsidRDefault="00742F61" w:rsidP="00742F61">
      <w:pPr>
        <w:rPr>
          <w:lang w:val="eu-ES"/>
        </w:rPr>
      </w:pPr>
      <w:r>
        <w:rPr>
          <w:lang w:val="eu-ES"/>
        </w:rPr>
        <w:t xml:space="preserve">Idatzizko testuaren ordez, ikasleek bideo, diapositiba, argazki edo marrazki batzuen iruzkina egin dezakete zatika, beharrezko egokitzapenak egin eta </w:t>
      </w:r>
      <w:proofErr w:type="spellStart"/>
      <w:r>
        <w:rPr>
          <w:lang w:val="eu-ES"/>
        </w:rPr>
        <w:t>gero…</w:t>
      </w:r>
      <w:proofErr w:type="spellEnd"/>
      <w:r>
        <w:rPr>
          <w:lang w:val="eu-ES"/>
        </w:rPr>
        <w:t xml:space="preserve"> Ordena jakin bati jarraituta, parte-hartzaile bakoitzak zer ikusi duen laburtuko du (bideo baten eszena bat baldin bada), edo argazkiak, irudiak edo marrazkiak bere ustean zer esan nahi duen azalduko du. Gainerakoek galderak egingo dituzte, esandakoa zehaztu edo zabaldu, iritzia </w:t>
      </w:r>
      <w:proofErr w:type="spellStart"/>
      <w:r>
        <w:rPr>
          <w:lang w:val="eu-ES"/>
        </w:rPr>
        <w:t>eman…</w:t>
      </w:r>
      <w:proofErr w:type="spellEnd"/>
      <w:r>
        <w:rPr>
          <w:lang w:val="eu-ES"/>
        </w:rPr>
        <w:t xml:space="preserve"> </w:t>
      </w:r>
    </w:p>
    <w:p w:rsidR="00742F61" w:rsidRPr="001E6929" w:rsidRDefault="00742F61" w:rsidP="00742F61">
      <w:pPr>
        <w:spacing w:before="240" w:after="120"/>
        <w:rPr>
          <w:i/>
          <w:iCs/>
          <w:lang w:val="eu-ES"/>
        </w:rPr>
      </w:pPr>
      <w:r>
        <w:rPr>
          <w:i/>
          <w:iCs/>
          <w:lang w:val="eu-ES"/>
        </w:rPr>
        <w:t>Parte-hartzea eta elkarrekintza bultzatzeko irizpideak:</w:t>
      </w:r>
    </w:p>
    <w:p w:rsidR="00742F61" w:rsidRPr="001E6929" w:rsidRDefault="00742F61" w:rsidP="00742F61">
      <w:pPr>
        <w:numPr>
          <w:ilvl w:val="0"/>
          <w:numId w:val="3"/>
        </w:numPr>
        <w:suppressAutoHyphens w:val="0"/>
        <w:rPr>
          <w:lang w:val="eu-ES"/>
        </w:rPr>
      </w:pPr>
      <w:r>
        <w:rPr>
          <w:lang w:val="eu-ES"/>
        </w:rPr>
        <w:t>Egitura hori aplikatzen den bakoitzean, ikasle batek hasiko du txanda; hala, taldeko kide guztiek izango dute parte hartzen lehenak izateko aukera.</w:t>
      </w:r>
      <w:r w:rsidRPr="001E6929">
        <w:rPr>
          <w:lang w:val="eu-ES"/>
        </w:rPr>
        <w:t xml:space="preserve"> </w:t>
      </w:r>
    </w:p>
    <w:p w:rsidR="00742F61" w:rsidRPr="001E6929" w:rsidRDefault="00742F61" w:rsidP="00742F61">
      <w:pPr>
        <w:numPr>
          <w:ilvl w:val="0"/>
          <w:numId w:val="3"/>
        </w:numPr>
        <w:suppressAutoHyphens w:val="0"/>
        <w:rPr>
          <w:lang w:val="eu-ES"/>
        </w:rPr>
      </w:pPr>
      <w:r>
        <w:rPr>
          <w:lang w:val="eu-ES"/>
        </w:rPr>
        <w:t>Ikaskideak irakurri berri duena «bere hitzekin» laburtu beharko du ikasleak, testua «berriro irakurri» gabe.</w:t>
      </w:r>
    </w:p>
    <w:p w:rsidR="00742F61" w:rsidRDefault="00742F61" w:rsidP="00742F61">
      <w:pPr>
        <w:numPr>
          <w:ilvl w:val="0"/>
          <w:numId w:val="3"/>
        </w:numPr>
        <w:suppressAutoHyphens w:val="0"/>
        <w:rPr>
          <w:lang w:val="es-ES"/>
        </w:rPr>
      </w:pPr>
      <w:r>
        <w:rPr>
          <w:lang w:val="eu-ES"/>
        </w:rPr>
        <w:t>Azkenik, taldeko gainerako kideek parte hartuko dute, eta kideetako batek irakurritako paragrafoari buruz beste kide batek egindako laburpenarekin ados dauden adieraziko dute; horrez gain, laburpenari zehaztapenak edo zuzenketak egingo dizkiote.</w:t>
      </w:r>
      <w:r w:rsidRPr="001E6929">
        <w:rPr>
          <w:lang w:val="eu-ES"/>
        </w:rPr>
        <w:t xml:space="preserve"> </w:t>
      </w:r>
      <w:r>
        <w:rPr>
          <w:lang w:val="eu-ES"/>
        </w:rPr>
        <w:t>Ahal dela, laburpena ez da besterik gabe onartu behar.</w:t>
      </w:r>
    </w:p>
    <w:p w:rsidR="00742F61" w:rsidRDefault="00742F61" w:rsidP="00742F61">
      <w:pPr>
        <w:spacing w:before="240" w:after="120"/>
        <w:rPr>
          <w:i/>
          <w:iCs/>
          <w:lang w:val="es-ES"/>
        </w:rPr>
      </w:pPr>
      <w:r>
        <w:rPr>
          <w:i/>
          <w:iCs/>
          <w:lang w:val="eu-ES"/>
        </w:rPr>
        <w:t>Egiturak unitate didaktikoan izan ditzakeen erabilerak: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850"/>
        <w:gridCol w:w="1851"/>
        <w:gridCol w:w="1850"/>
        <w:gridCol w:w="1851"/>
      </w:tblGrid>
      <w:tr w:rsidR="00742F61" w:rsidTr="00156C01">
        <w:trPr>
          <w:trHeight w:val="339"/>
        </w:trPr>
        <w:tc>
          <w:tcPr>
            <w:tcW w:w="8536" w:type="dxa"/>
            <w:gridSpan w:val="5"/>
            <w:tcBorders>
              <w:top w:val="nil"/>
              <w:left w:val="nil"/>
              <w:bottom w:val="single" w:sz="4" w:space="0" w:color="auto"/>
              <w:right w:val="nil"/>
            </w:tcBorders>
          </w:tcPr>
          <w:p w:rsidR="00742F61" w:rsidRDefault="00742F61" w:rsidP="00156C01">
            <w:pPr>
              <w:ind w:left="-540" w:right="-676" w:firstLine="180"/>
              <w:rPr>
                <w:rFonts w:ascii="Comic Sans MS" w:hAnsi="Comic Sans MS" w:cs="Comic Sans MS"/>
              </w:rPr>
            </w:pPr>
            <w:r>
              <w:rPr>
                <w:rFonts w:ascii="Comic Sans MS" w:hAnsi="Comic Sans MS" w:cs="Comic Sans MS"/>
                <w:sz w:val="20"/>
                <w:szCs w:val="20"/>
                <w:lang w:val="eu-ES"/>
              </w:rPr>
              <w:t>2. taula</w:t>
            </w:r>
          </w:p>
        </w:tc>
      </w:tr>
      <w:tr w:rsidR="00742F61" w:rsidTr="00156C01">
        <w:trPr>
          <w:trHeight w:val="339"/>
        </w:trPr>
        <w:tc>
          <w:tcPr>
            <w:tcW w:w="1134" w:type="dxa"/>
            <w:tcBorders>
              <w:top w:val="single" w:sz="4" w:space="0" w:color="auto"/>
              <w:left w:val="single" w:sz="4" w:space="0" w:color="auto"/>
              <w:bottom w:val="double" w:sz="4" w:space="0" w:color="auto"/>
              <w:right w:val="double" w:sz="4" w:space="0" w:color="auto"/>
            </w:tcBorders>
          </w:tcPr>
          <w:p w:rsidR="00742F61" w:rsidRDefault="00742F61" w:rsidP="00156C01">
            <w:pPr>
              <w:ind w:right="-676"/>
              <w:rPr>
                <w:rFonts w:ascii="Comic Sans MS" w:hAnsi="Comic Sans MS" w:cs="Comic Sans MS"/>
              </w:rPr>
            </w:pPr>
            <w:r>
              <w:rPr>
                <w:rFonts w:ascii="Comic Sans MS" w:hAnsi="Comic Sans MS" w:cs="Comic Sans MS"/>
                <w:b/>
                <w:bCs/>
                <w:i/>
                <w:iCs/>
                <w:sz w:val="18"/>
                <w:szCs w:val="18"/>
                <w:lang w:val="eu-ES"/>
              </w:rPr>
              <w:t>Egitura</w:t>
            </w:r>
          </w:p>
        </w:tc>
        <w:tc>
          <w:tcPr>
            <w:tcW w:w="1850" w:type="dxa"/>
            <w:tcBorders>
              <w:top w:val="single" w:sz="4" w:space="0" w:color="auto"/>
              <w:left w:val="double" w:sz="4" w:space="0" w:color="auto"/>
              <w:bottom w:val="double" w:sz="4" w:space="0" w:color="auto"/>
              <w:right w:val="single" w:sz="4" w:space="0" w:color="auto"/>
            </w:tcBorders>
          </w:tcPr>
          <w:p w:rsidR="00742F61" w:rsidRDefault="00742F61" w:rsidP="00156C01">
            <w:pPr>
              <w:rPr>
                <w:b/>
                <w:bCs/>
                <w:i/>
                <w:iCs/>
                <w:sz w:val="18"/>
                <w:szCs w:val="18"/>
                <w:lang w:val="es-ES"/>
              </w:rPr>
            </w:pPr>
            <w:r>
              <w:rPr>
                <w:b/>
                <w:bCs/>
                <w:i/>
                <w:iCs/>
                <w:sz w:val="18"/>
                <w:szCs w:val="18"/>
                <w:lang w:val="eu-ES"/>
              </w:rPr>
              <w:t>Unitate didaktikoaren aurretik</w:t>
            </w:r>
          </w:p>
        </w:tc>
        <w:tc>
          <w:tcPr>
            <w:tcW w:w="1851" w:type="dxa"/>
            <w:tcBorders>
              <w:top w:val="single" w:sz="4" w:space="0" w:color="auto"/>
              <w:left w:val="single" w:sz="4" w:space="0" w:color="auto"/>
              <w:bottom w:val="double" w:sz="4" w:space="0" w:color="auto"/>
              <w:right w:val="single" w:sz="4" w:space="0" w:color="auto"/>
            </w:tcBorders>
          </w:tcPr>
          <w:p w:rsidR="00742F61" w:rsidRDefault="00742F61" w:rsidP="00156C01">
            <w:pPr>
              <w:rPr>
                <w:b/>
                <w:bCs/>
                <w:i/>
                <w:iCs/>
                <w:sz w:val="18"/>
                <w:szCs w:val="18"/>
                <w:lang w:val="es-ES"/>
              </w:rPr>
            </w:pPr>
            <w:r>
              <w:rPr>
                <w:b/>
                <w:bCs/>
                <w:i/>
                <w:iCs/>
                <w:sz w:val="18"/>
                <w:szCs w:val="18"/>
                <w:lang w:val="eu-ES"/>
              </w:rPr>
              <w:t>Unitate didaktikoaren hasieran</w:t>
            </w:r>
          </w:p>
        </w:tc>
        <w:tc>
          <w:tcPr>
            <w:tcW w:w="1850" w:type="dxa"/>
            <w:tcBorders>
              <w:top w:val="single" w:sz="4" w:space="0" w:color="auto"/>
              <w:left w:val="single" w:sz="4" w:space="0" w:color="auto"/>
              <w:bottom w:val="double" w:sz="4" w:space="0" w:color="auto"/>
              <w:right w:val="single" w:sz="4" w:space="0" w:color="auto"/>
            </w:tcBorders>
          </w:tcPr>
          <w:p w:rsidR="00742F61" w:rsidRDefault="00742F61" w:rsidP="00156C01">
            <w:pPr>
              <w:rPr>
                <w:b/>
                <w:bCs/>
                <w:i/>
                <w:iCs/>
                <w:sz w:val="18"/>
                <w:szCs w:val="18"/>
                <w:lang w:val="es-ES"/>
              </w:rPr>
            </w:pPr>
            <w:r>
              <w:rPr>
                <w:b/>
                <w:bCs/>
                <w:i/>
                <w:iCs/>
                <w:sz w:val="18"/>
                <w:szCs w:val="18"/>
                <w:lang w:val="eu-ES"/>
              </w:rPr>
              <w:t>Unitate didaktikoan zehar</w:t>
            </w:r>
          </w:p>
        </w:tc>
        <w:tc>
          <w:tcPr>
            <w:tcW w:w="1851" w:type="dxa"/>
            <w:tcBorders>
              <w:top w:val="single" w:sz="4" w:space="0" w:color="auto"/>
              <w:left w:val="single" w:sz="4" w:space="0" w:color="auto"/>
              <w:bottom w:val="double" w:sz="4" w:space="0" w:color="auto"/>
              <w:right w:val="single" w:sz="4" w:space="0" w:color="auto"/>
            </w:tcBorders>
          </w:tcPr>
          <w:p w:rsidR="00742F61" w:rsidRDefault="00742F61" w:rsidP="00156C01">
            <w:pPr>
              <w:rPr>
                <w:b/>
                <w:bCs/>
                <w:i/>
                <w:iCs/>
                <w:sz w:val="18"/>
                <w:szCs w:val="18"/>
                <w:lang w:val="es-ES"/>
              </w:rPr>
            </w:pPr>
            <w:r>
              <w:rPr>
                <w:b/>
                <w:bCs/>
                <w:i/>
                <w:iCs/>
                <w:sz w:val="18"/>
                <w:szCs w:val="18"/>
                <w:lang w:val="eu-ES"/>
              </w:rPr>
              <w:t>Unitate didaktikoaren amaieran</w:t>
            </w:r>
          </w:p>
        </w:tc>
      </w:tr>
      <w:tr w:rsidR="00742F61" w:rsidTr="00156C01">
        <w:tc>
          <w:tcPr>
            <w:tcW w:w="1134" w:type="dxa"/>
            <w:tcBorders>
              <w:top w:val="double" w:sz="4" w:space="0" w:color="auto"/>
              <w:left w:val="single" w:sz="4" w:space="0" w:color="auto"/>
              <w:bottom w:val="single" w:sz="4" w:space="0" w:color="auto"/>
              <w:right w:val="double" w:sz="4" w:space="0" w:color="auto"/>
            </w:tcBorders>
          </w:tcPr>
          <w:p w:rsidR="00742F61" w:rsidRDefault="00742F61" w:rsidP="00156C01">
            <w:pPr>
              <w:rPr>
                <w:sz w:val="18"/>
                <w:szCs w:val="18"/>
                <w:lang w:val="es-ES"/>
              </w:rPr>
            </w:pPr>
            <w:r>
              <w:rPr>
                <w:sz w:val="18"/>
                <w:szCs w:val="18"/>
                <w:lang w:val="eu-ES"/>
              </w:rPr>
              <w:t>Irakurketa partekatua</w:t>
            </w:r>
          </w:p>
        </w:tc>
        <w:tc>
          <w:tcPr>
            <w:tcW w:w="1850" w:type="dxa"/>
            <w:tcBorders>
              <w:top w:val="double" w:sz="4" w:space="0" w:color="auto"/>
              <w:left w:val="double" w:sz="4" w:space="0" w:color="auto"/>
              <w:bottom w:val="single" w:sz="4" w:space="0" w:color="auto"/>
              <w:right w:val="single" w:sz="4" w:space="0" w:color="auto"/>
            </w:tcBorders>
          </w:tcPr>
          <w:p w:rsidR="00742F61" w:rsidRDefault="00742F61" w:rsidP="00156C01">
            <w:pPr>
              <w:jc w:val="left"/>
              <w:rPr>
                <w:sz w:val="18"/>
                <w:szCs w:val="18"/>
                <w:lang w:val="es-ES"/>
              </w:rPr>
            </w:pPr>
            <w:r>
              <w:rPr>
                <w:sz w:val="18"/>
                <w:szCs w:val="18"/>
                <w:lang w:val="eu-ES"/>
              </w:rPr>
              <w:t xml:space="preserve">Landu beharreko gaiari buruzko ideiak </w:t>
            </w:r>
            <w:r>
              <w:rPr>
                <w:sz w:val="18"/>
                <w:szCs w:val="18"/>
                <w:lang w:val="eu-ES"/>
              </w:rPr>
              <w:lastRenderedPageBreak/>
              <w:t>«freskatzea», testu batetik abiatuta.</w:t>
            </w:r>
          </w:p>
        </w:tc>
        <w:tc>
          <w:tcPr>
            <w:tcW w:w="1851" w:type="dxa"/>
            <w:tcBorders>
              <w:top w:val="double" w:sz="4" w:space="0" w:color="auto"/>
              <w:left w:val="single" w:sz="4" w:space="0" w:color="auto"/>
              <w:bottom w:val="single" w:sz="4" w:space="0" w:color="auto"/>
              <w:right w:val="single" w:sz="4" w:space="0" w:color="auto"/>
            </w:tcBorders>
          </w:tcPr>
          <w:p w:rsidR="00742F61" w:rsidRPr="00742F61" w:rsidRDefault="00742F61" w:rsidP="00156C01">
            <w:pPr>
              <w:jc w:val="left"/>
              <w:rPr>
                <w:sz w:val="18"/>
                <w:szCs w:val="18"/>
                <w:lang w:val="en-US"/>
              </w:rPr>
            </w:pPr>
            <w:r>
              <w:rPr>
                <w:sz w:val="18"/>
                <w:szCs w:val="18"/>
                <w:lang w:val="eu-ES"/>
              </w:rPr>
              <w:lastRenderedPageBreak/>
              <w:t>Gai bat aurkeztea, testu batetik abiatuta.</w:t>
            </w:r>
          </w:p>
        </w:tc>
        <w:tc>
          <w:tcPr>
            <w:tcW w:w="1850" w:type="dxa"/>
            <w:tcBorders>
              <w:top w:val="double" w:sz="4" w:space="0" w:color="auto"/>
              <w:left w:val="single" w:sz="4" w:space="0" w:color="auto"/>
              <w:bottom w:val="single" w:sz="4" w:space="0" w:color="auto"/>
              <w:right w:val="single" w:sz="4" w:space="0" w:color="auto"/>
            </w:tcBorders>
          </w:tcPr>
          <w:p w:rsidR="00742F61" w:rsidRDefault="00742F61" w:rsidP="00156C01">
            <w:pPr>
              <w:jc w:val="left"/>
              <w:rPr>
                <w:sz w:val="18"/>
                <w:szCs w:val="18"/>
                <w:lang w:val="es-ES"/>
              </w:rPr>
            </w:pPr>
            <w:r>
              <w:rPr>
                <w:sz w:val="18"/>
                <w:szCs w:val="18"/>
                <w:lang w:val="eu-ES"/>
              </w:rPr>
              <w:t xml:space="preserve">Testu bat ulertu dela ziurtatzea, testu </w:t>
            </w:r>
            <w:r>
              <w:rPr>
                <w:sz w:val="18"/>
                <w:szCs w:val="18"/>
                <w:lang w:val="eu-ES"/>
              </w:rPr>
              <w:lastRenderedPageBreak/>
              <w:t>horretan oinarrituta ariketa batzuk egiteko.</w:t>
            </w:r>
          </w:p>
        </w:tc>
        <w:tc>
          <w:tcPr>
            <w:tcW w:w="1851" w:type="dxa"/>
            <w:tcBorders>
              <w:top w:val="double" w:sz="4" w:space="0" w:color="auto"/>
              <w:left w:val="single" w:sz="4" w:space="0" w:color="auto"/>
              <w:bottom w:val="single" w:sz="4" w:space="0" w:color="auto"/>
              <w:right w:val="single" w:sz="4" w:space="0" w:color="auto"/>
            </w:tcBorders>
          </w:tcPr>
          <w:p w:rsidR="00742F61" w:rsidRDefault="00742F61" w:rsidP="00156C01">
            <w:pPr>
              <w:jc w:val="left"/>
              <w:rPr>
                <w:sz w:val="18"/>
                <w:szCs w:val="18"/>
                <w:lang w:val="es-ES"/>
              </w:rPr>
            </w:pPr>
            <w:r>
              <w:rPr>
                <w:sz w:val="18"/>
                <w:szCs w:val="18"/>
                <w:lang w:val="eu-ES"/>
              </w:rPr>
              <w:lastRenderedPageBreak/>
              <w:t xml:space="preserve">Landuko den gaiaren edukiak laburbiltzen </w:t>
            </w:r>
            <w:r>
              <w:rPr>
                <w:sz w:val="18"/>
                <w:szCs w:val="18"/>
                <w:lang w:val="eu-ES"/>
              </w:rPr>
              <w:lastRenderedPageBreak/>
              <w:t>dituen testu bat ulertu dela ziurtatzea.</w:t>
            </w:r>
          </w:p>
        </w:tc>
      </w:tr>
    </w:tbl>
    <w:p w:rsidR="00742F61" w:rsidRDefault="00742F61" w:rsidP="00742F61">
      <w:pPr>
        <w:rPr>
          <w:lang w:val="es-ES"/>
        </w:rPr>
      </w:pPr>
    </w:p>
    <w:p w:rsidR="008A1E83" w:rsidRPr="00742F61" w:rsidRDefault="008A1E83">
      <w:pPr>
        <w:rPr>
          <w:lang w:val="es-ES"/>
        </w:rPr>
      </w:pPr>
    </w:p>
    <w:sectPr w:rsidR="008A1E83" w:rsidRPr="00742F61" w:rsidSect="008A1E8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E7C" w:rsidRDefault="004E0E7C" w:rsidP="00742F61">
      <w:pPr>
        <w:spacing w:before="0" w:after="0"/>
      </w:pPr>
      <w:r>
        <w:separator/>
      </w:r>
    </w:p>
  </w:endnote>
  <w:endnote w:type="continuationSeparator" w:id="0">
    <w:p w:rsidR="004E0E7C" w:rsidRDefault="004E0E7C" w:rsidP="00742F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0">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E7C" w:rsidRDefault="004E0E7C" w:rsidP="00742F61">
      <w:pPr>
        <w:spacing w:before="0" w:after="0"/>
      </w:pPr>
      <w:r>
        <w:separator/>
      </w:r>
    </w:p>
  </w:footnote>
  <w:footnote w:type="continuationSeparator" w:id="0">
    <w:p w:rsidR="004E0E7C" w:rsidRDefault="004E0E7C" w:rsidP="00742F61">
      <w:pPr>
        <w:spacing w:before="0" w:after="0"/>
      </w:pPr>
      <w:r>
        <w:continuationSeparator/>
      </w:r>
    </w:p>
  </w:footnote>
  <w:footnote w:id="1">
    <w:p w:rsidR="00742F61" w:rsidRDefault="00742F61" w:rsidP="00742F61">
      <w:pPr>
        <w:pStyle w:val="Textonotapie"/>
      </w:pPr>
      <w:r>
        <w:rPr>
          <w:rStyle w:val="Refdenotaalpie"/>
        </w:rPr>
        <w:footnoteRef/>
      </w:r>
      <w:r>
        <w:t xml:space="preserve"> </w:t>
      </w:r>
      <w:r>
        <w:rPr>
          <w:lang w:val="eu-ES"/>
        </w:rPr>
        <w:t xml:space="preserve">Miranda de Ebroko (Burgos) </w:t>
      </w:r>
      <w:proofErr w:type="spellStart"/>
      <w:r>
        <w:rPr>
          <w:lang w:val="eu-ES"/>
        </w:rPr>
        <w:t>Los</w:t>
      </w:r>
      <w:proofErr w:type="spellEnd"/>
      <w:r>
        <w:rPr>
          <w:lang w:val="eu-ES"/>
        </w:rPr>
        <w:t xml:space="preserve"> </w:t>
      </w:r>
      <w:proofErr w:type="spellStart"/>
      <w:r>
        <w:rPr>
          <w:lang w:val="eu-ES"/>
        </w:rPr>
        <w:t>Ángeles</w:t>
      </w:r>
      <w:proofErr w:type="spellEnd"/>
      <w:r>
        <w:rPr>
          <w:lang w:val="eu-ES"/>
        </w:rPr>
        <w:t xml:space="preserve"> eskualdeko ikastetxe publikoko </w:t>
      </w:r>
      <w:proofErr w:type="spellStart"/>
      <w:r>
        <w:rPr>
          <w:lang w:val="eu-ES"/>
        </w:rPr>
        <w:t>María</w:t>
      </w:r>
      <w:proofErr w:type="spellEnd"/>
      <w:r>
        <w:rPr>
          <w:lang w:val="eu-ES"/>
        </w:rPr>
        <w:t xml:space="preserve"> </w:t>
      </w:r>
      <w:proofErr w:type="spellStart"/>
      <w:r>
        <w:rPr>
          <w:lang w:val="eu-ES"/>
        </w:rPr>
        <w:t>Jesús</w:t>
      </w:r>
      <w:proofErr w:type="spellEnd"/>
      <w:r>
        <w:rPr>
          <w:lang w:val="eu-ES"/>
        </w:rPr>
        <w:t xml:space="preserve"> Alonsok sorturiko egitura.</w:t>
      </w:r>
      <w:r>
        <w:t xml:space="preserve"> </w:t>
      </w:r>
      <w:r>
        <w:rPr>
          <w:lang w:val="eu-ES"/>
        </w:rPr>
        <w:t xml:space="preserve">(M. J. Alonso eta Y. Ortiz, 2005, 63. or.) Ikus, halaber, </w:t>
      </w:r>
      <w:proofErr w:type="spellStart"/>
      <w:r>
        <w:rPr>
          <w:lang w:val="eu-ES"/>
        </w:rPr>
        <w:t>Pujolàs</w:t>
      </w:r>
      <w:proofErr w:type="spellEnd"/>
      <w:r>
        <w:rPr>
          <w:lang w:val="eu-ES"/>
        </w:rPr>
        <w:t xml:space="preserve">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0152FBC"/>
    <w:multiLevelType w:val="multilevel"/>
    <w:tmpl w:val="985EE38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6BA2627E"/>
    <w:multiLevelType w:val="hybridMultilevel"/>
    <w:tmpl w:val="6D9090CC"/>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
      <w:lvlJc w:val="left"/>
      <w:pPr>
        <w:tabs>
          <w:tab w:val="num" w:pos="1080"/>
        </w:tabs>
        <w:ind w:left="1080" w:hanging="360"/>
      </w:pPr>
      <w:rPr>
        <w:rFonts w:ascii="Symbol" w:hAnsi="Symbol" w:cs="Symbol"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742F61"/>
    <w:rsid w:val="0009609C"/>
    <w:rsid w:val="00161F6A"/>
    <w:rsid w:val="00216319"/>
    <w:rsid w:val="00272762"/>
    <w:rsid w:val="003501D9"/>
    <w:rsid w:val="003931FE"/>
    <w:rsid w:val="004D3976"/>
    <w:rsid w:val="004E0E7C"/>
    <w:rsid w:val="00676C96"/>
    <w:rsid w:val="006E1137"/>
    <w:rsid w:val="00742F61"/>
    <w:rsid w:val="00775C4A"/>
    <w:rsid w:val="007C0167"/>
    <w:rsid w:val="008A1E83"/>
    <w:rsid w:val="008E2E44"/>
    <w:rsid w:val="00901012"/>
    <w:rsid w:val="00AB6C55"/>
    <w:rsid w:val="00C00B28"/>
    <w:rsid w:val="00DF05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F61"/>
    <w:pPr>
      <w:suppressAutoHyphens/>
      <w:spacing w:before="60" w:after="60" w:line="240" w:lineRule="auto"/>
      <w:jc w:val="both"/>
    </w:pPr>
    <w:rPr>
      <w:rFonts w:ascii="Times New Roman" w:eastAsia="Times New Roman" w:hAnsi="Times New Roman" w:cs="Times New Roman"/>
      <w:snapToGrid w:val="0"/>
      <w:sz w:val="24"/>
      <w:szCs w:val="24"/>
      <w:lang w:val="ca-ES" w:eastAsia="es-ES"/>
    </w:rPr>
  </w:style>
  <w:style w:type="paragraph" w:styleId="Ttulo3">
    <w:name w:val="heading 3"/>
    <w:basedOn w:val="Normal"/>
    <w:next w:val="Normal"/>
    <w:link w:val="Ttulo3Car"/>
    <w:qFormat/>
    <w:rsid w:val="00742F61"/>
    <w:pPr>
      <w:keepNext/>
      <w:numPr>
        <w:ilvl w:val="2"/>
        <w:numId w:val="1"/>
      </w:numPr>
      <w:spacing w:before="360" w:after="12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742F61"/>
    <w:rPr>
      <w:rFonts w:ascii="Times New Roman" w:eastAsia="Times New Roman" w:hAnsi="Times New Roman" w:cs="Times New Roman"/>
      <w:b/>
      <w:bCs/>
      <w:snapToGrid w:val="0"/>
      <w:sz w:val="24"/>
      <w:szCs w:val="24"/>
      <w:lang w:val="ca-ES" w:eastAsia="es-ES"/>
    </w:rPr>
  </w:style>
  <w:style w:type="character" w:styleId="Refdenotaalpie">
    <w:name w:val="footnote reference"/>
    <w:basedOn w:val="Fuentedeprrafopredeter"/>
    <w:semiHidden/>
    <w:rsid w:val="00742F61"/>
    <w:rPr>
      <w:vertAlign w:val="superscript"/>
    </w:rPr>
  </w:style>
  <w:style w:type="paragraph" w:styleId="Textonotapie">
    <w:name w:val="footnote text"/>
    <w:basedOn w:val="Normal"/>
    <w:link w:val="TextonotapieCar"/>
    <w:semiHidden/>
    <w:rsid w:val="00742F61"/>
    <w:rPr>
      <w:sz w:val="20"/>
      <w:szCs w:val="20"/>
    </w:rPr>
  </w:style>
  <w:style w:type="character" w:customStyle="1" w:styleId="TextonotapieCar">
    <w:name w:val="Texto nota pie Car"/>
    <w:basedOn w:val="Fuentedeprrafopredeter"/>
    <w:link w:val="Textonotapie"/>
    <w:semiHidden/>
    <w:rsid w:val="00742F61"/>
    <w:rPr>
      <w:rFonts w:ascii="Times New Roman" w:eastAsia="Times New Roman" w:hAnsi="Times New Roman" w:cs="Times New Roman"/>
      <w:snapToGrid w:val="0"/>
      <w:sz w:val="20"/>
      <w:szCs w:val="20"/>
      <w:lang w:val="ca-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2423</Characters>
  <Application>Microsoft Office Word</Application>
  <DocSecurity>0</DocSecurity>
  <Lines>20</Lines>
  <Paragraphs>5</Paragraphs>
  <ScaleCrop>false</ScaleCrop>
  <Company>Hewlett-Packard</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2013-01-15T18:49:00Z</dcterms:created>
  <dcterms:modified xsi:type="dcterms:W3CDTF">2013-01-15T18:49:00Z</dcterms:modified>
</cp:coreProperties>
</file>