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7" w:rsidRDefault="004B5C07" w:rsidP="004B5C07">
      <w:pPr>
        <w:pStyle w:val="Ttulo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Hitzen jokoa</w:t>
      </w:r>
    </w:p>
    <w:p w:rsidR="004B5C07" w:rsidRDefault="004B5C07" w:rsidP="004B5C07">
      <w:pPr>
        <w:rPr>
          <w:lang w:val="es-ES"/>
        </w:rPr>
      </w:pPr>
      <w:r>
        <w:rPr>
          <w:lang w:val="eu-ES"/>
        </w:rPr>
        <w:t>Irakasleak lantzen ari diren edo amaitu berri duten gaiari buruzko zenbait gako-hitz idatziko ditu arbelean.</w:t>
      </w:r>
      <w:r>
        <w:rPr>
          <w:lang w:val="es-ES"/>
        </w:rPr>
        <w:t xml:space="preserve"> </w:t>
      </w:r>
      <w:r>
        <w:rPr>
          <w:lang w:val="eu-ES"/>
        </w:rPr>
        <w:t>Oinarri-talde bakoitzean, ikasleek esaldi bat idatziko dute hitz horiekin (bakoitzak gako-hitz bat hartuko du oinarri); bestela, berriz, hitz horien «atzean» dagoen ideia azalduko dute.</w:t>
      </w:r>
    </w:p>
    <w:p w:rsidR="004B5C07" w:rsidRDefault="004B5C07" w:rsidP="004B5C07">
      <w:pPr>
        <w:rPr>
          <w:lang w:val="es-ES"/>
        </w:rPr>
      </w:pPr>
      <w:r>
        <w:rPr>
          <w:lang w:val="eu-ES"/>
        </w:rPr>
        <w:t>Hitzak paper txiki batean idatziko dituzte (folio baten heren edo laurden batean), erraz manipulatu ahal izan ditzaten.</w:t>
      </w:r>
    </w:p>
    <w:p w:rsidR="004B5C07" w:rsidRPr="001E6929" w:rsidRDefault="004B5C07" w:rsidP="004B5C07">
      <w:pPr>
        <w:rPr>
          <w:lang w:val="eu-ES"/>
        </w:rPr>
      </w:pPr>
      <w:r>
        <w:rPr>
          <w:lang w:val="eu-ES"/>
        </w:rPr>
        <w:t xml:space="preserve">Ondoren, ordena jakin bati jarraiki, ikasle bakoitzak idatzi duen esaldia erakutsiko die gainerakoei. Horiek esaldia zuzendu, zehaztu edo osatu egingo dute. Nolabait, «bere egingo dute», eta esaldi kolektibo bihurtuko da: talde guztiaren esaldia izango da, ez idatzi duenarena bakarrik. </w:t>
      </w:r>
    </w:p>
    <w:p w:rsidR="004B5C07" w:rsidRPr="001E6929" w:rsidRDefault="004B5C07" w:rsidP="004B5C07">
      <w:pPr>
        <w:rPr>
          <w:lang w:val="eu-ES"/>
        </w:rPr>
      </w:pPr>
      <w:r>
        <w:rPr>
          <w:lang w:val="eu-ES"/>
        </w:rPr>
        <w:t>Lau gako-hitz baino gehiago baldin badaude, behar adina txanda egingo dira prozedura berari jarraiki (txandaren batean ez badago bakoitzarentzako hitz bat, banatu egingo dira), harik eta gako-hitz bakoitzarentzako esaldi bat izan arte. Talde bakoitzak behar bezala gainbegiratuko du esaldia.</w:t>
      </w:r>
    </w:p>
    <w:p w:rsidR="004B5C07" w:rsidRPr="001E6929" w:rsidRDefault="004B5C07" w:rsidP="004B5C07">
      <w:pPr>
        <w:rPr>
          <w:lang w:val="eu-ES"/>
        </w:rPr>
      </w:pPr>
      <w:r>
        <w:rPr>
          <w:lang w:val="eu-ES"/>
        </w:rPr>
        <w:t>Ondoren, mahai gainean ordenatuko dituzte ordena logiko bati jarraiki; hartara, gaiari buruzko eskema-laburpen edo mapa kontzeptual moduko bat osatuko dute.</w:t>
      </w:r>
      <w:r w:rsidRPr="001E6929">
        <w:rPr>
          <w:lang w:val="eu-ES"/>
        </w:rPr>
        <w:t xml:space="preserve"> </w:t>
      </w:r>
    </w:p>
    <w:p w:rsidR="004B5C07" w:rsidRPr="001E6929" w:rsidRDefault="004B5C07" w:rsidP="004B5C07">
      <w:pPr>
        <w:rPr>
          <w:lang w:val="eu-ES"/>
        </w:rPr>
      </w:pPr>
      <w:r>
        <w:rPr>
          <w:lang w:val="eu-ES"/>
        </w:rPr>
        <w:t>Irakasleak ikasleek zehaztutako ordenari baiezkoa ematen dionean, zenbatu egingo dituzte; hala, binaka garbira pasatu (batean bikote bat eta beste batean bestea) eta taldekide bakoitzarentzako kopia bana egingo dute.</w:t>
      </w:r>
      <w:r w:rsidRPr="001E6929">
        <w:rPr>
          <w:rStyle w:val="tw4winMark"/>
          <w:lang w:val="eu-ES"/>
        </w:rPr>
        <w:t xml:space="preserve">  </w:t>
      </w:r>
    </w:p>
    <w:p w:rsidR="004B5C07" w:rsidRPr="001E6929" w:rsidRDefault="004B5C07" w:rsidP="004B5C07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4B5C07" w:rsidRPr="006042F5" w:rsidRDefault="004B5C07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Gako-hitzak berberak izan daitezke talde guztientzat, edo oinarri-taldeko bakoitzak gako-hitzen zerrenda ezberdina izan dezake.</w:t>
      </w:r>
      <w:r w:rsidRPr="001E6929">
        <w:rPr>
          <w:lang w:val="eu-ES"/>
        </w:rPr>
        <w:t xml:space="preserve"> </w:t>
      </w:r>
      <w:r>
        <w:rPr>
          <w:lang w:val="eu-ES"/>
        </w:rPr>
        <w:t>Talde bakoitzak gako-hitzekin eratzen dituen esaldi edo ideiak, gero bateratuko dituztenak, landutako gai osoaren sintesia dira.</w:t>
      </w:r>
    </w:p>
    <w:p w:rsidR="004B5C07" w:rsidRPr="006042F5" w:rsidRDefault="004B5C07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Esaldia osatzeko bakoitzak zer gako-hitz erabiliko duen erabakiko dute taldeek, baita hezitzaileak ere.</w:t>
      </w:r>
      <w:r w:rsidRPr="006042F5">
        <w:rPr>
          <w:lang w:val="eu-ES"/>
        </w:rPr>
        <w:t xml:space="preserve"> </w:t>
      </w:r>
      <w:r>
        <w:rPr>
          <w:lang w:val="eu-ES"/>
        </w:rPr>
        <w:t xml:space="preserve">Nolanahi ere, ziurtatu beharko da zailtasun handienak dituzten ikasleei egokitzen zaizkien hitzek ez dutela zailtasun berezirik esaldia osatzeko. </w:t>
      </w:r>
      <w:r w:rsidRPr="006042F5">
        <w:rPr>
          <w:lang w:val="eu-ES"/>
        </w:rPr>
        <w:t xml:space="preserve"> </w:t>
      </w:r>
      <w:r>
        <w:rPr>
          <w:lang w:val="eu-ES"/>
        </w:rPr>
        <w:t>Ikasteko zailtasun handiagoak dituzten ikasleen kasuan, esaldia hasita eman diezaiekegu, hitz bakarra eman ordez; gero beraiek osatu beharko dute esaldia.</w:t>
      </w:r>
    </w:p>
    <w:p w:rsidR="004B5C07" w:rsidRPr="006042F5" w:rsidRDefault="004B5C07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Zuzenketa-txanda hasten duten ikasleak txandakatu egingo dira, egitura hau aplikatzen den hurrengoetan.</w:t>
      </w:r>
    </w:p>
    <w:p w:rsidR="004B5C07" w:rsidRPr="006042F5" w:rsidRDefault="004B5C07" w:rsidP="004B5C07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Bikoteka garbira pasatzen ari direla, txandakatu egingo dira; hala, batek idazten duen bitartean, besteak diktatu egingo dio eta zuzen idazten duela egiaztatuko du.</w:t>
      </w:r>
    </w:p>
    <w:p w:rsidR="004B5C07" w:rsidRPr="006042F5" w:rsidRDefault="004B5C07" w:rsidP="004B5C07">
      <w:pPr>
        <w:spacing w:before="240" w:after="120"/>
        <w:rPr>
          <w:i/>
          <w:iCs/>
          <w:lang w:val="eu-ES"/>
        </w:rPr>
      </w:pPr>
      <w:r w:rsidRPr="006042F5">
        <w:rPr>
          <w:i/>
          <w:iCs/>
          <w:lang w:val="eu-ES"/>
        </w:rPr>
        <w:br w:type="page"/>
      </w:r>
      <w:r>
        <w:rPr>
          <w:i/>
          <w:iCs/>
          <w:lang w:val="eu-ES"/>
        </w:rPr>
        <w:lastRenderedPageBreak/>
        <w:t>Egiturak unitate didaktikoan izan ditzakeen erabilerak:</w:t>
      </w:r>
    </w:p>
    <w:tbl>
      <w:tblPr>
        <w:tblW w:w="0" w:type="auto"/>
        <w:tblInd w:w="108" w:type="dxa"/>
        <w:tblLayout w:type="fixed"/>
        <w:tblLook w:val="01E0"/>
      </w:tblPr>
      <w:tblGrid>
        <w:gridCol w:w="1134"/>
        <w:gridCol w:w="1850"/>
        <w:gridCol w:w="1851"/>
        <w:gridCol w:w="3701"/>
      </w:tblGrid>
      <w:tr w:rsidR="004B5C07" w:rsidTr="00156C01">
        <w:trPr>
          <w:trHeight w:val="339"/>
        </w:trPr>
        <w:tc>
          <w:tcPr>
            <w:tcW w:w="8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C07" w:rsidRDefault="004B5C07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7. taula</w:t>
            </w:r>
          </w:p>
        </w:tc>
      </w:tr>
      <w:tr w:rsidR="004B5C07" w:rsidTr="00156C01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5C07" w:rsidRDefault="004B5C07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 edo/eta unitate didaktikoaren ondoren</w:t>
            </w:r>
          </w:p>
        </w:tc>
      </w:tr>
      <w:tr w:rsidR="004B5C07" w:rsidTr="00156C01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5C07" w:rsidRDefault="004B5C07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Hitzen jokoa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ezagutzea, hitz batek iradokitzen dienetik abiatuta.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 ulertu dela egiaztatzea, gako-hitz batzuetatik abiatuta esaldi bat eraikiz.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07" w:rsidRDefault="004B5C07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edo landu diren gaiari buruzko ideia nagusiak laburbiltzen dituzten esaldiak eraikitzea.</w:t>
            </w:r>
          </w:p>
        </w:tc>
      </w:tr>
    </w:tbl>
    <w:p w:rsidR="004B5C07" w:rsidRDefault="004B5C07" w:rsidP="004B5C07">
      <w:pPr>
        <w:rPr>
          <w:lang w:val="es-ES"/>
        </w:rPr>
      </w:pPr>
    </w:p>
    <w:p w:rsidR="008A1E83" w:rsidRPr="004B5C07" w:rsidRDefault="008A1E83">
      <w:pPr>
        <w:rPr>
          <w:lang w:val="es-ES"/>
        </w:rPr>
      </w:pPr>
    </w:p>
    <w:sectPr w:rsidR="008A1E83" w:rsidRPr="004B5C07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ED02BF4"/>
    <w:multiLevelType w:val="hybridMultilevel"/>
    <w:tmpl w:val="E24AC6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5C07"/>
    <w:rsid w:val="0009609C"/>
    <w:rsid w:val="00161F6A"/>
    <w:rsid w:val="00216319"/>
    <w:rsid w:val="00272762"/>
    <w:rsid w:val="003931FE"/>
    <w:rsid w:val="004B5C07"/>
    <w:rsid w:val="004D3976"/>
    <w:rsid w:val="00676C96"/>
    <w:rsid w:val="006E1137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07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4B5C07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B5C07"/>
    <w:rPr>
      <w:rFonts w:ascii="Times New Roman" w:eastAsia="Times New Roman" w:hAnsi="Times New Roman" w:cs="Times New Roman"/>
      <w:b/>
      <w:bCs/>
      <w:snapToGrid w:val="0"/>
      <w:sz w:val="24"/>
      <w:szCs w:val="24"/>
      <w:lang w:val="ca-ES" w:eastAsia="es-ES"/>
    </w:rPr>
  </w:style>
  <w:style w:type="character" w:customStyle="1" w:styleId="tw4winMark">
    <w:name w:val="tw4winMark"/>
    <w:rsid w:val="004B5C07"/>
    <w:rPr>
      <w:rFonts w:ascii="Courier New" w:hAnsi="Courier New" w:cs="Courier New"/>
      <w:vanish/>
      <w:color w:val="800080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2443</Characters>
  <Application>Microsoft Office Word</Application>
  <DocSecurity>0</DocSecurity>
  <Lines>20</Lines>
  <Paragraphs>5</Paragraphs>
  <ScaleCrop>false</ScaleCrop>
  <Company>Hewlett-Packard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2012-10-07T10:15:00Z</dcterms:created>
  <dcterms:modified xsi:type="dcterms:W3CDTF">2012-10-07T10:15:00Z</dcterms:modified>
</cp:coreProperties>
</file>