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8F" w:rsidRPr="00F20435" w:rsidRDefault="000B788F" w:rsidP="000B788F">
      <w:pPr>
        <w:spacing w:line="480" w:lineRule="auto"/>
        <w:rPr>
          <w:b/>
        </w:rPr>
      </w:pPr>
      <w:r>
        <w:t>Table 1:</w:t>
      </w:r>
      <w:r w:rsidRPr="000B788F">
        <w:t xml:space="preserve"> Ten </w:t>
      </w:r>
      <w:r>
        <w:t>K</w:t>
      </w:r>
      <w:r w:rsidRPr="000B788F">
        <w:t xml:space="preserve">ey </w:t>
      </w:r>
      <w:r>
        <w:t>E</w:t>
      </w:r>
      <w:r w:rsidRPr="000B788F">
        <w:t xml:space="preserve">lements of </w:t>
      </w:r>
      <w:r>
        <w:t>P</w:t>
      </w:r>
      <w:r w:rsidRPr="000B788F">
        <w:t xml:space="preserve">ublicly </w:t>
      </w:r>
      <w:r>
        <w:t>E</w:t>
      </w:r>
      <w:r w:rsidRPr="000B788F">
        <w:t xml:space="preserve">ngaged </w:t>
      </w:r>
      <w:r>
        <w:t>S</w:t>
      </w:r>
      <w:r w:rsidRPr="00F20435">
        <w:t>cholarship (PES)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490"/>
      </w:tblGrid>
      <w:tr w:rsidR="000B788F" w:rsidRPr="00262B09" w:rsidTr="00BF174F">
        <w:trPr>
          <w:trHeight w:val="512"/>
        </w:trPr>
        <w:tc>
          <w:tcPr>
            <w:tcW w:w="3780" w:type="dxa"/>
            <w:shd w:val="clear" w:color="auto" w:fill="auto"/>
            <w:vAlign w:val="center"/>
          </w:tcPr>
          <w:p w:rsidR="000B788F" w:rsidRPr="00262B09" w:rsidRDefault="000B788F" w:rsidP="006C6164">
            <w:pPr>
              <w:spacing w:line="480" w:lineRule="auto"/>
              <w:rPr>
                <w:b/>
              </w:rPr>
            </w:pPr>
            <w:r w:rsidRPr="00262B09">
              <w:rPr>
                <w:b/>
              </w:rPr>
              <w:t>Key Element of Publicly Engaged Scholarship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0B788F" w:rsidRPr="00262B09" w:rsidRDefault="000B788F" w:rsidP="00F20435">
            <w:pPr>
              <w:spacing w:line="480" w:lineRule="auto"/>
              <w:rPr>
                <w:b/>
                <w:color w:val="243F60" w:themeColor="accent1" w:themeShade="7F"/>
              </w:rPr>
            </w:pPr>
            <w:bookmarkStart w:id="0" w:name="_GoBack"/>
            <w:r w:rsidRPr="00262B09">
              <w:rPr>
                <w:b/>
              </w:rPr>
              <w:t>Brief description</w:t>
            </w:r>
          </w:p>
          <w:bookmarkEnd w:id="0"/>
          <w:p w:rsidR="000B788F" w:rsidRPr="00262B09" w:rsidRDefault="000B788F">
            <w:pPr>
              <w:spacing w:line="480" w:lineRule="auto"/>
              <w:rPr>
                <w:b/>
              </w:rPr>
            </w:pPr>
          </w:p>
        </w:tc>
      </w:tr>
      <w:tr w:rsidR="000B788F" w:rsidRPr="00262B09" w:rsidTr="00BF174F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B788F" w:rsidRPr="00262B09" w:rsidRDefault="000B788F" w:rsidP="000B788F">
            <w:pPr>
              <w:numPr>
                <w:ilvl w:val="0"/>
                <w:numId w:val="1"/>
              </w:numPr>
              <w:spacing w:line="480" w:lineRule="auto"/>
            </w:pPr>
            <w:r w:rsidRPr="00262B09">
              <w:t>Clear and adaptable definition</w:t>
            </w:r>
          </w:p>
          <w:p w:rsidR="000B788F" w:rsidRPr="00262B09" w:rsidRDefault="000B788F" w:rsidP="006C6164">
            <w:pPr>
              <w:spacing w:line="480" w:lineRule="auto"/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:rsidR="000B788F" w:rsidRPr="00262B09" w:rsidRDefault="000B788F">
            <w:pPr>
              <w:spacing w:line="480" w:lineRule="auto"/>
            </w:pPr>
            <w:r w:rsidRPr="00262B09">
              <w:t>Providing sufficient specificity such that the core components are translatable across a range of disciplinary and methodological settings and transferable among institutional types or contexts</w:t>
            </w:r>
          </w:p>
          <w:p w:rsidR="000B788F" w:rsidRPr="00262B09" w:rsidRDefault="000B788F">
            <w:pPr>
              <w:spacing w:line="480" w:lineRule="auto"/>
            </w:pPr>
          </w:p>
        </w:tc>
      </w:tr>
      <w:tr w:rsidR="000B788F" w:rsidRPr="00262B09" w:rsidTr="00BF174F">
        <w:tc>
          <w:tcPr>
            <w:tcW w:w="3780" w:type="dxa"/>
            <w:shd w:val="clear" w:color="auto" w:fill="D9D9D9"/>
          </w:tcPr>
          <w:p w:rsidR="000B788F" w:rsidRPr="00262B09" w:rsidRDefault="000B788F" w:rsidP="000B788F">
            <w:pPr>
              <w:numPr>
                <w:ilvl w:val="0"/>
                <w:numId w:val="1"/>
              </w:numPr>
              <w:spacing w:line="480" w:lineRule="auto"/>
            </w:pPr>
            <w:r w:rsidRPr="00262B09">
              <w:t>Well</w:t>
            </w:r>
            <w:r>
              <w:t>-</w:t>
            </w:r>
            <w:r w:rsidRPr="00262B09">
              <w:t>articulated criteria</w:t>
            </w:r>
          </w:p>
          <w:p w:rsidR="000B788F" w:rsidRPr="00262B09" w:rsidRDefault="000B788F" w:rsidP="006C6164">
            <w:pPr>
              <w:spacing w:line="480" w:lineRule="auto"/>
            </w:pPr>
          </w:p>
        </w:tc>
        <w:tc>
          <w:tcPr>
            <w:tcW w:w="5490" w:type="dxa"/>
            <w:shd w:val="clear" w:color="auto" w:fill="D9D9D9"/>
          </w:tcPr>
          <w:p w:rsidR="000B788F" w:rsidRPr="00262B09" w:rsidRDefault="000B788F">
            <w:pPr>
              <w:spacing w:line="480" w:lineRule="auto"/>
            </w:pPr>
            <w:r w:rsidRPr="00262B09">
              <w:t>Demonstrating universal principles of sound research design, methodological rigor</w:t>
            </w:r>
            <w:r>
              <w:t>,</w:t>
            </w:r>
            <w:r w:rsidRPr="00262B09">
              <w:t xml:space="preserve"> and analytical depth, which are translatable to rewards systems</w:t>
            </w:r>
          </w:p>
          <w:p w:rsidR="000B788F" w:rsidRPr="00262B09" w:rsidRDefault="000B788F">
            <w:pPr>
              <w:spacing w:line="480" w:lineRule="auto"/>
            </w:pPr>
          </w:p>
        </w:tc>
      </w:tr>
      <w:tr w:rsidR="000B788F" w:rsidRPr="00262B09" w:rsidTr="00BF174F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B788F" w:rsidRPr="00262B09" w:rsidRDefault="000B788F" w:rsidP="000B788F">
            <w:pPr>
              <w:numPr>
                <w:ilvl w:val="0"/>
                <w:numId w:val="1"/>
              </w:numPr>
              <w:spacing w:line="480" w:lineRule="auto"/>
            </w:pPr>
            <w:r w:rsidRPr="00262B09">
              <w:t>Peer review</w:t>
            </w:r>
          </w:p>
          <w:p w:rsidR="000B788F" w:rsidRPr="00262B09" w:rsidRDefault="000B788F" w:rsidP="006C6164">
            <w:pPr>
              <w:spacing w:line="480" w:lineRule="auto"/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:rsidR="000B788F" w:rsidRPr="00262B09" w:rsidRDefault="000B788F" w:rsidP="00F20435">
            <w:pPr>
              <w:spacing w:line="480" w:lineRule="auto"/>
              <w:rPr>
                <w:color w:val="243F60" w:themeColor="accent1" w:themeShade="7F"/>
              </w:rPr>
            </w:pPr>
            <w:r w:rsidRPr="00262B09">
              <w:t>Comprised of an identifiable group of recognized</w:t>
            </w:r>
            <w:r>
              <w:t>,</w:t>
            </w:r>
            <w:r w:rsidRPr="00262B09">
              <w:t xml:space="preserve"> experienced</w:t>
            </w:r>
            <w:r>
              <w:t>,</w:t>
            </w:r>
            <w:r w:rsidRPr="00262B09">
              <w:t xml:space="preserve"> and expert evaluators who may be located both inside and outside the academy</w:t>
            </w:r>
          </w:p>
        </w:tc>
      </w:tr>
      <w:tr w:rsidR="000B788F" w:rsidRPr="00262B09" w:rsidTr="00BF174F">
        <w:tc>
          <w:tcPr>
            <w:tcW w:w="3780" w:type="dxa"/>
            <w:shd w:val="clear" w:color="auto" w:fill="D9D9D9"/>
          </w:tcPr>
          <w:p w:rsidR="000B788F" w:rsidRPr="00262B09" w:rsidRDefault="000B788F" w:rsidP="000B788F">
            <w:pPr>
              <w:numPr>
                <w:ilvl w:val="0"/>
                <w:numId w:val="1"/>
              </w:numPr>
              <w:spacing w:line="480" w:lineRule="auto"/>
            </w:pPr>
            <w:r w:rsidRPr="00262B09">
              <w:t>Public good impact</w:t>
            </w:r>
          </w:p>
          <w:p w:rsidR="000B788F" w:rsidRPr="00262B09" w:rsidRDefault="000B788F" w:rsidP="006C6164">
            <w:pPr>
              <w:spacing w:line="480" w:lineRule="auto"/>
            </w:pPr>
          </w:p>
        </w:tc>
        <w:tc>
          <w:tcPr>
            <w:tcW w:w="5490" w:type="dxa"/>
            <w:shd w:val="clear" w:color="auto" w:fill="D9D9D9"/>
          </w:tcPr>
          <w:p w:rsidR="000B788F" w:rsidRPr="00262B09" w:rsidRDefault="000B788F" w:rsidP="00F20435">
            <w:pPr>
              <w:spacing w:line="480" w:lineRule="auto"/>
              <w:rPr>
                <w:color w:val="243F60" w:themeColor="accent1" w:themeShade="7F"/>
              </w:rPr>
            </w:pPr>
            <w:r w:rsidRPr="00262B09">
              <w:t>Manifesting in clear and tangible artifact(s) or plan(s) with ameliorative potential</w:t>
            </w:r>
          </w:p>
          <w:p w:rsidR="000B788F" w:rsidRPr="00262B09" w:rsidRDefault="000B788F">
            <w:pPr>
              <w:spacing w:line="480" w:lineRule="auto"/>
            </w:pPr>
          </w:p>
        </w:tc>
      </w:tr>
      <w:tr w:rsidR="000B788F" w:rsidRPr="00262B09" w:rsidTr="00BF174F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B788F" w:rsidRPr="00262B09" w:rsidRDefault="000B788F" w:rsidP="000B788F">
            <w:pPr>
              <w:numPr>
                <w:ilvl w:val="0"/>
                <w:numId w:val="1"/>
              </w:numPr>
              <w:spacing w:line="480" w:lineRule="auto"/>
            </w:pPr>
            <w:r w:rsidRPr="00262B09">
              <w:t>Democratic practice</w:t>
            </w:r>
          </w:p>
          <w:p w:rsidR="000B788F" w:rsidRPr="00262B09" w:rsidRDefault="000B788F" w:rsidP="006C6164">
            <w:pPr>
              <w:spacing w:line="480" w:lineRule="auto"/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:rsidR="000B788F" w:rsidRPr="00262B09" w:rsidRDefault="000B788F" w:rsidP="00F20435">
            <w:pPr>
              <w:spacing w:line="480" w:lineRule="auto"/>
              <w:rPr>
                <w:color w:val="243F60" w:themeColor="accent1" w:themeShade="7F"/>
              </w:rPr>
            </w:pPr>
            <w:r w:rsidRPr="00262B09">
              <w:t>Establishing the power, posture</w:t>
            </w:r>
            <w:r>
              <w:t>,</w:t>
            </w:r>
            <w:r w:rsidRPr="00262B09">
              <w:t xml:space="preserve"> and relationship dynamics as relate</w:t>
            </w:r>
            <w:r>
              <w:t>d</w:t>
            </w:r>
            <w:r w:rsidRPr="00262B09">
              <w:t xml:space="preserve"> to the establishment of research questions and work plan</w:t>
            </w:r>
            <w:r>
              <w:t>;</w:t>
            </w:r>
            <w:r w:rsidRPr="00262B09">
              <w:t xml:space="preserve"> </w:t>
            </w:r>
            <w:r>
              <w:t>r</w:t>
            </w:r>
            <w:r w:rsidRPr="00262B09">
              <w:t>eciprocity among campus and community</w:t>
            </w:r>
            <w:r>
              <w:t>-</w:t>
            </w:r>
            <w:r w:rsidRPr="00262B09">
              <w:t>based partner</w:t>
            </w:r>
            <w:r>
              <w:t>s</w:t>
            </w:r>
            <w:r w:rsidRPr="00262B09">
              <w:t xml:space="preserve"> is deeply embedded in PES work</w:t>
            </w:r>
          </w:p>
          <w:p w:rsidR="000B788F" w:rsidRPr="00262B09" w:rsidRDefault="000B788F">
            <w:pPr>
              <w:spacing w:line="480" w:lineRule="auto"/>
            </w:pPr>
          </w:p>
        </w:tc>
      </w:tr>
      <w:tr w:rsidR="000B788F" w:rsidRPr="00262B09" w:rsidTr="00BF174F">
        <w:tc>
          <w:tcPr>
            <w:tcW w:w="3780" w:type="dxa"/>
            <w:shd w:val="clear" w:color="auto" w:fill="D9D9D9"/>
          </w:tcPr>
          <w:p w:rsidR="000B788F" w:rsidRPr="00262B09" w:rsidRDefault="000B788F" w:rsidP="000B788F">
            <w:pPr>
              <w:numPr>
                <w:ilvl w:val="0"/>
                <w:numId w:val="1"/>
              </w:numPr>
              <w:spacing w:line="480" w:lineRule="auto"/>
            </w:pPr>
            <w:r>
              <w:lastRenderedPageBreak/>
              <w:t>Location on c</w:t>
            </w:r>
            <w:r w:rsidRPr="00262B09">
              <w:t>ontinuum of scholarship</w:t>
            </w:r>
          </w:p>
          <w:p w:rsidR="000B788F" w:rsidRPr="00262B09" w:rsidRDefault="000B788F" w:rsidP="006C6164">
            <w:pPr>
              <w:spacing w:line="480" w:lineRule="auto"/>
            </w:pPr>
          </w:p>
        </w:tc>
        <w:tc>
          <w:tcPr>
            <w:tcW w:w="5490" w:type="dxa"/>
            <w:shd w:val="clear" w:color="auto" w:fill="D9D9D9"/>
          </w:tcPr>
          <w:p w:rsidR="000B788F" w:rsidRPr="00262B09" w:rsidRDefault="00476896">
            <w:pPr>
              <w:spacing w:line="480" w:lineRule="auto"/>
            </w:pPr>
            <w:r>
              <w:t xml:space="preserve">Ratifying the work as a serious knowledge-making endeavor by placing it </w:t>
            </w:r>
            <w:r w:rsidR="000B788F" w:rsidRPr="00262B09">
              <w:t xml:space="preserve">along the continuum of scholarship </w:t>
            </w:r>
          </w:p>
          <w:p w:rsidR="000B788F" w:rsidRPr="00262B09" w:rsidRDefault="000B788F">
            <w:pPr>
              <w:spacing w:line="480" w:lineRule="auto"/>
            </w:pPr>
          </w:p>
        </w:tc>
      </w:tr>
      <w:tr w:rsidR="000B788F" w:rsidRPr="00262B09" w:rsidTr="00BF174F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B788F" w:rsidRPr="00262B09" w:rsidRDefault="000B788F" w:rsidP="000B788F">
            <w:pPr>
              <w:numPr>
                <w:ilvl w:val="0"/>
                <w:numId w:val="1"/>
              </w:numPr>
              <w:spacing w:line="480" w:lineRule="auto"/>
            </w:pPr>
            <w:r w:rsidRPr="00262B09">
              <w:t xml:space="preserve">Diverse scholarly products </w:t>
            </w:r>
          </w:p>
          <w:p w:rsidR="000B788F" w:rsidRPr="00262B09" w:rsidRDefault="000B788F" w:rsidP="006C6164">
            <w:pPr>
              <w:spacing w:line="480" w:lineRule="auto"/>
              <w:ind w:left="360"/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:rsidR="000B788F" w:rsidRPr="00262B09" w:rsidRDefault="000B788F" w:rsidP="00F20435">
            <w:pPr>
              <w:spacing w:line="480" w:lineRule="auto"/>
              <w:rPr>
                <w:color w:val="243F60" w:themeColor="accent1" w:themeShade="7F"/>
              </w:rPr>
            </w:pPr>
            <w:r w:rsidRPr="00262B09">
              <w:t xml:space="preserve">Producing artifacts of scholarly work that take a variety of forms and </w:t>
            </w:r>
            <w:r>
              <w:t>that</w:t>
            </w:r>
            <w:r w:rsidRPr="00262B09">
              <w:t xml:space="preserve"> manifest at different points throughout the project </w:t>
            </w:r>
          </w:p>
          <w:p w:rsidR="000B788F" w:rsidRPr="00262B09" w:rsidRDefault="000B788F">
            <w:pPr>
              <w:spacing w:line="480" w:lineRule="auto"/>
            </w:pPr>
          </w:p>
        </w:tc>
      </w:tr>
      <w:tr w:rsidR="000B788F" w:rsidRPr="00262B09" w:rsidTr="00BF174F">
        <w:tc>
          <w:tcPr>
            <w:tcW w:w="3780" w:type="dxa"/>
            <w:shd w:val="clear" w:color="auto" w:fill="D9D9D9"/>
          </w:tcPr>
          <w:p w:rsidR="000B788F" w:rsidRPr="00262B09" w:rsidRDefault="000B788F" w:rsidP="000B788F">
            <w:pPr>
              <w:numPr>
                <w:ilvl w:val="0"/>
                <w:numId w:val="1"/>
              </w:numPr>
              <w:spacing w:line="480" w:lineRule="auto"/>
            </w:pPr>
            <w:r w:rsidRPr="00262B09">
              <w:t>Multiple career paths</w:t>
            </w:r>
          </w:p>
          <w:p w:rsidR="000B788F" w:rsidRPr="00262B09" w:rsidRDefault="000B788F" w:rsidP="006C6164">
            <w:pPr>
              <w:spacing w:line="480" w:lineRule="auto"/>
            </w:pPr>
          </w:p>
        </w:tc>
        <w:tc>
          <w:tcPr>
            <w:tcW w:w="5490" w:type="dxa"/>
            <w:shd w:val="clear" w:color="auto" w:fill="D9D9D9"/>
          </w:tcPr>
          <w:p w:rsidR="000B788F" w:rsidRPr="00262B09" w:rsidRDefault="000B788F" w:rsidP="00F20435">
            <w:pPr>
              <w:spacing w:line="480" w:lineRule="auto"/>
              <w:rPr>
                <w:color w:val="243F60" w:themeColor="accent1" w:themeShade="7F"/>
              </w:rPr>
            </w:pPr>
            <w:r w:rsidRPr="00262B09">
              <w:t>Facilitating career paths that hinge on research</w:t>
            </w:r>
            <w:r>
              <w:t>-</w:t>
            </w:r>
            <w:r w:rsidRPr="00262B09">
              <w:t>based scholarly endeavor but may or may not include tenure</w:t>
            </w:r>
            <w:r>
              <w:t>-</w:t>
            </w:r>
            <w:r w:rsidRPr="00262B09">
              <w:t>track faculty</w:t>
            </w:r>
            <w:r>
              <w:t xml:space="preserve"> appointments</w:t>
            </w:r>
          </w:p>
          <w:p w:rsidR="000B788F" w:rsidRPr="00262B09" w:rsidRDefault="000B788F">
            <w:pPr>
              <w:spacing w:line="480" w:lineRule="auto"/>
            </w:pPr>
          </w:p>
          <w:p w:rsidR="000B788F" w:rsidRPr="00262B09" w:rsidRDefault="000B788F">
            <w:pPr>
              <w:spacing w:line="480" w:lineRule="auto"/>
            </w:pPr>
          </w:p>
        </w:tc>
      </w:tr>
      <w:tr w:rsidR="000B788F" w:rsidRPr="00262B09" w:rsidTr="00BF174F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B788F" w:rsidRPr="00262B09" w:rsidRDefault="000B788F" w:rsidP="000B788F">
            <w:pPr>
              <w:numPr>
                <w:ilvl w:val="0"/>
                <w:numId w:val="1"/>
              </w:numPr>
              <w:spacing w:line="480" w:lineRule="auto"/>
            </w:pPr>
            <w:r w:rsidRPr="00262B09">
              <w:t>Interdisciplinary focus</w:t>
            </w:r>
          </w:p>
          <w:p w:rsidR="000B788F" w:rsidRPr="00262B09" w:rsidRDefault="000B788F" w:rsidP="006C6164">
            <w:pPr>
              <w:spacing w:line="480" w:lineRule="auto"/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:rsidR="000B788F" w:rsidRPr="00262B09" w:rsidRDefault="000B788F" w:rsidP="00F20435">
            <w:pPr>
              <w:spacing w:line="480" w:lineRule="auto"/>
              <w:rPr>
                <w:color w:val="243F60" w:themeColor="accent1" w:themeShade="7F"/>
              </w:rPr>
            </w:pPr>
            <w:r w:rsidRPr="00262B09">
              <w:t>Drawing on more than one academic discipline and acknowledging the essential contributions of each</w:t>
            </w:r>
          </w:p>
          <w:p w:rsidR="000B788F" w:rsidRPr="00262B09" w:rsidRDefault="000B788F">
            <w:pPr>
              <w:spacing w:line="480" w:lineRule="auto"/>
            </w:pPr>
          </w:p>
        </w:tc>
      </w:tr>
      <w:tr w:rsidR="000B788F" w:rsidRPr="00262B09" w:rsidTr="00BF174F">
        <w:tc>
          <w:tcPr>
            <w:tcW w:w="3780" w:type="dxa"/>
            <w:shd w:val="clear" w:color="auto" w:fill="D9D9D9"/>
          </w:tcPr>
          <w:p w:rsidR="000B788F" w:rsidRPr="00262B09" w:rsidRDefault="000B788F" w:rsidP="000B788F">
            <w:pPr>
              <w:numPr>
                <w:ilvl w:val="0"/>
                <w:numId w:val="1"/>
              </w:numPr>
              <w:spacing w:line="480" w:lineRule="auto"/>
            </w:pPr>
            <w:r w:rsidRPr="00262B09">
              <w:t>Rewards</w:t>
            </w:r>
          </w:p>
        </w:tc>
        <w:tc>
          <w:tcPr>
            <w:tcW w:w="5490" w:type="dxa"/>
            <w:shd w:val="clear" w:color="auto" w:fill="D9D9D9"/>
          </w:tcPr>
          <w:p w:rsidR="000B788F" w:rsidRPr="00262B09" w:rsidRDefault="000B788F" w:rsidP="00CF2C83">
            <w:pPr>
              <w:spacing w:line="480" w:lineRule="auto"/>
            </w:pPr>
            <w:r w:rsidRPr="00262B09">
              <w:t>Expressing the value of the work through</w:t>
            </w:r>
            <w:r w:rsidR="00CF2C83">
              <w:t xml:space="preserve"> policy that provides</w:t>
            </w:r>
            <w:r w:rsidRPr="00262B09">
              <w:t xml:space="preserve"> both material and structural </w:t>
            </w:r>
            <w:r w:rsidR="00476896">
              <w:t>incentives</w:t>
            </w:r>
          </w:p>
          <w:p w:rsidR="000B788F" w:rsidRPr="00262B09" w:rsidRDefault="000B788F" w:rsidP="006C6164">
            <w:pPr>
              <w:spacing w:line="480" w:lineRule="auto"/>
            </w:pPr>
          </w:p>
        </w:tc>
      </w:tr>
    </w:tbl>
    <w:p w:rsidR="00453C9B" w:rsidRDefault="00F20435" w:rsidP="00F20435">
      <w:pPr>
        <w:spacing w:line="480" w:lineRule="auto"/>
      </w:pPr>
    </w:p>
    <w:sectPr w:rsidR="00453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77F08"/>
    <w:multiLevelType w:val="hybridMultilevel"/>
    <w:tmpl w:val="5AC6F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8F"/>
    <w:rsid w:val="000B788F"/>
    <w:rsid w:val="00476896"/>
    <w:rsid w:val="004A5F5F"/>
    <w:rsid w:val="006C6164"/>
    <w:rsid w:val="00CF2C83"/>
    <w:rsid w:val="00E00015"/>
    <w:rsid w:val="00F2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glwright</dc:creator>
  <cp:lastModifiedBy>Timothy Eatman</cp:lastModifiedBy>
  <cp:revision>2</cp:revision>
  <dcterms:created xsi:type="dcterms:W3CDTF">2011-11-22T15:28:00Z</dcterms:created>
  <dcterms:modified xsi:type="dcterms:W3CDTF">2011-11-22T15:28:00Z</dcterms:modified>
</cp:coreProperties>
</file>