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7C" w:rsidRPr="00834944" w:rsidRDefault="00B0187C" w:rsidP="00601DF6">
      <w:pPr>
        <w:spacing w:beforeLines="1" w:before="2" w:afterLines="1" w:after="2"/>
        <w:rPr>
          <w:rFonts w:ascii="Times New Roman" w:hAnsi="Times New Roman" w:cs="Times New Roman"/>
        </w:rPr>
      </w:pPr>
    </w:p>
    <w:p w:rsidR="00B0187C" w:rsidRPr="00834944" w:rsidRDefault="00B0187C" w:rsidP="004B717C">
      <w:pPr>
        <w:rPr>
          <w:rFonts w:ascii="Times New Roman" w:hAnsi="Times New Roman" w:cs="Times New Roman"/>
          <w:b/>
        </w:rPr>
      </w:pPr>
      <w:r w:rsidRPr="00834944">
        <w:rPr>
          <w:rFonts w:ascii="Times New Roman" w:hAnsi="Times New Roman" w:cs="Times New Roman"/>
          <w:b/>
        </w:rPr>
        <w:t>Full Participation: Engagement, Diversity, and the Postsecondary Success of Underserved Students</w:t>
      </w:r>
    </w:p>
    <w:p w:rsidR="00B0187C" w:rsidRPr="00834944" w:rsidRDefault="00B0187C" w:rsidP="00601DF6">
      <w:pPr>
        <w:spacing w:beforeLines="1" w:before="2" w:afterLines="1" w:after="2"/>
        <w:ind w:left="720"/>
        <w:rPr>
          <w:rFonts w:ascii="Times New Roman" w:hAnsi="Times New Roman" w:cs="Times New Roman"/>
        </w:rPr>
      </w:pPr>
    </w:p>
    <w:p w:rsidR="00B0187C" w:rsidRPr="00834944" w:rsidRDefault="00B0187C" w:rsidP="00601DF6">
      <w:pPr>
        <w:spacing w:beforeLines="1" w:before="2" w:afterLines="1" w:after="2"/>
        <w:ind w:left="720"/>
        <w:rPr>
          <w:rFonts w:ascii="Times New Roman" w:hAnsi="Times New Roman" w:cs="Times New Roman"/>
        </w:rPr>
      </w:pPr>
      <w:r w:rsidRPr="00834944">
        <w:rPr>
          <w:rFonts w:ascii="Times New Roman" w:hAnsi="Times New Roman" w:cs="Times New Roman"/>
          <w:i/>
        </w:rPr>
        <w:t>The project of achieving inclusive institutions is not only about eliminating discrimination or even increasing the representation of previously excluded groups. It is about creating the conditions enabling people of all races and genders to realize their capabilities as they understand them. All institutional citizens should be able to realize their potential and participate fully in the life of the institution</w:t>
      </w:r>
      <w:r w:rsidRPr="00834944">
        <w:rPr>
          <w:rFonts w:ascii="Times New Roman" w:hAnsi="Times New Roman" w:cs="Times New Roman"/>
        </w:rPr>
        <w:t xml:space="preserve"> (Sturm, p. 4).</w:t>
      </w:r>
    </w:p>
    <w:p w:rsidR="00B0187C" w:rsidRPr="00834944" w:rsidRDefault="00B0187C" w:rsidP="00601DF6">
      <w:pPr>
        <w:spacing w:beforeLines="1" w:before="2" w:afterLines="1" w:after="2"/>
        <w:rPr>
          <w:rFonts w:ascii="Times New Roman" w:hAnsi="Times New Roman" w:cs="Times New Roman"/>
        </w:rPr>
      </w:pPr>
    </w:p>
    <w:p w:rsidR="00772319" w:rsidRPr="00834944" w:rsidRDefault="006A2F98"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34944">
        <w:rPr>
          <w:rFonts w:ascii="Times New Roman" w:hAnsi="Times New Roman" w:cs="Times New Roman"/>
        </w:rPr>
        <w:t>A</w:t>
      </w:r>
      <w:r w:rsidR="00B0187C" w:rsidRPr="00834944">
        <w:rPr>
          <w:rFonts w:ascii="Times New Roman" w:hAnsi="Times New Roman" w:cs="Times New Roman"/>
        </w:rPr>
        <w:t xml:space="preserve">chieving the full participation of diverse students and diverse faculty in higher education and beyond--in democratic communities and </w:t>
      </w:r>
      <w:r w:rsidR="004B717C" w:rsidRPr="00834944">
        <w:rPr>
          <w:rFonts w:ascii="Times New Roman" w:hAnsi="Times New Roman" w:cs="Times New Roman"/>
        </w:rPr>
        <w:t xml:space="preserve">civic </w:t>
      </w:r>
      <w:r w:rsidR="00B0187C" w:rsidRPr="00834944">
        <w:rPr>
          <w:rFonts w:ascii="Times New Roman" w:hAnsi="Times New Roman" w:cs="Times New Roman"/>
        </w:rPr>
        <w:t>institutions</w:t>
      </w:r>
      <w:r w:rsidRPr="00834944">
        <w:rPr>
          <w:rFonts w:ascii="Times New Roman" w:hAnsi="Times New Roman" w:cs="Times New Roman"/>
        </w:rPr>
        <w:t xml:space="preserve">--requires systemic inquiry and action </w:t>
      </w:r>
      <w:r w:rsidR="00B0187C" w:rsidRPr="00834944">
        <w:rPr>
          <w:rFonts w:ascii="Times New Roman" w:hAnsi="Times New Roman" w:cs="Times New Roman"/>
        </w:rPr>
        <w:t>focuse</w:t>
      </w:r>
      <w:r w:rsidRPr="00834944">
        <w:rPr>
          <w:rFonts w:ascii="Times New Roman" w:hAnsi="Times New Roman" w:cs="Times New Roman"/>
        </w:rPr>
        <w:t>d</w:t>
      </w:r>
      <w:r w:rsidR="00B0187C" w:rsidRPr="00834944">
        <w:rPr>
          <w:rFonts w:ascii="Times New Roman" w:hAnsi="Times New Roman" w:cs="Times New Roman"/>
        </w:rPr>
        <w:t xml:space="preserve"> on a set of connections that has yet to be rigorously addressed: the connections among (1) active teaching and learning, (2) collaborative knowledge creation, and (3) the academic success of underserved students. Understanding this matrix is a necessary pre-condition for fundamental changes in institutional cultures, structures, policies, and practices at colleges and universities.</w:t>
      </w:r>
      <w:r w:rsidR="004B717C" w:rsidRPr="00834944">
        <w:rPr>
          <w:rFonts w:ascii="Times New Roman" w:hAnsi="Times New Roman" w:cs="Times New Roman"/>
        </w:rPr>
        <w:t xml:space="preserve"> Only a </w:t>
      </w:r>
      <w:r w:rsidR="00B0187C" w:rsidRPr="00834944">
        <w:rPr>
          <w:rFonts w:ascii="Times New Roman" w:hAnsi="Times New Roman" w:cs="Times New Roman"/>
        </w:rPr>
        <w:t>comprehensive, integrative approach to the full continuum of teaching, learning, and research can ensure that all student</w:t>
      </w:r>
      <w:r w:rsidRPr="00834944">
        <w:rPr>
          <w:rFonts w:ascii="Times New Roman" w:hAnsi="Times New Roman" w:cs="Times New Roman"/>
        </w:rPr>
        <w:t>--</w:t>
      </w:r>
      <w:r w:rsidR="00B0187C" w:rsidRPr="00834944">
        <w:rPr>
          <w:rFonts w:ascii="Times New Roman" w:hAnsi="Times New Roman" w:cs="Times New Roman"/>
        </w:rPr>
        <w:t>but especially those with the fewest resource</w:t>
      </w:r>
      <w:r w:rsidRPr="00834944">
        <w:rPr>
          <w:rFonts w:ascii="Times New Roman" w:hAnsi="Times New Roman" w:cs="Times New Roman"/>
        </w:rPr>
        <w:t>--</w:t>
      </w:r>
      <w:r w:rsidR="00B0187C" w:rsidRPr="00834944">
        <w:rPr>
          <w:rFonts w:ascii="Times New Roman" w:hAnsi="Times New Roman" w:cs="Times New Roman"/>
        </w:rPr>
        <w:t xml:space="preserve">have access to the opportunities they need to succeed in </w:t>
      </w:r>
      <w:r w:rsidR="00EB690C" w:rsidRPr="00834944">
        <w:rPr>
          <w:rFonts w:ascii="Times New Roman" w:hAnsi="Times New Roman" w:cs="Times New Roman"/>
        </w:rPr>
        <w:t xml:space="preserve">postsecondary education </w:t>
      </w:r>
      <w:r w:rsidR="00B0187C" w:rsidRPr="00834944">
        <w:rPr>
          <w:rFonts w:ascii="Times New Roman" w:hAnsi="Times New Roman" w:cs="Times New Roman"/>
        </w:rPr>
        <w:t>and to fully participate in the economic, social, political, and civic life of the nation. Full participation is about educati</w:t>
      </w:r>
      <w:r w:rsidRPr="00834944">
        <w:rPr>
          <w:rFonts w:ascii="Times New Roman" w:hAnsi="Times New Roman" w:cs="Times New Roman"/>
        </w:rPr>
        <w:t>on that provides</w:t>
      </w:r>
      <w:r w:rsidR="00B0187C" w:rsidRPr="00834944">
        <w:rPr>
          <w:rFonts w:ascii="Times New Roman" w:hAnsi="Times New Roman" w:cs="Times New Roman"/>
        </w:rPr>
        <w:t xml:space="preserve"> for participation in a wider public culture of democracy. It calls for a fundamental reorientation of higher education toward addressing equity and opportunity in deeper, </w:t>
      </w:r>
      <w:r w:rsidR="00EB690C" w:rsidRPr="00834944">
        <w:rPr>
          <w:rFonts w:ascii="Times New Roman" w:hAnsi="Times New Roman" w:cs="Times New Roman"/>
        </w:rPr>
        <w:t xml:space="preserve">systemic, </w:t>
      </w:r>
      <w:r w:rsidR="00B0187C" w:rsidRPr="00834944">
        <w:rPr>
          <w:rFonts w:ascii="Times New Roman" w:hAnsi="Times New Roman" w:cs="Times New Roman"/>
        </w:rPr>
        <w:t xml:space="preserve">more complex, and more transformative ways. </w:t>
      </w:r>
      <w:r w:rsidR="004B717C" w:rsidRPr="00834944">
        <w:rPr>
          <w:rFonts w:ascii="Times New Roman" w:hAnsi="Times New Roman" w:cs="Times New Roman"/>
        </w:rPr>
        <w:t>Above all, it requires</w:t>
      </w:r>
      <w:r w:rsidR="00B0187C" w:rsidRPr="00834944">
        <w:rPr>
          <w:rFonts w:ascii="Times New Roman" w:hAnsi="Times New Roman" w:cs="Times New Roman"/>
        </w:rPr>
        <w:t xml:space="preserve"> </w:t>
      </w:r>
      <w:r w:rsidR="004B717C" w:rsidRPr="00834944">
        <w:rPr>
          <w:rFonts w:ascii="Times New Roman" w:hAnsi="Times New Roman" w:cs="Times New Roman"/>
        </w:rPr>
        <w:t>examining</w:t>
      </w:r>
      <w:r w:rsidR="00B0187C" w:rsidRPr="00834944">
        <w:rPr>
          <w:rFonts w:ascii="Times New Roman" w:hAnsi="Times New Roman" w:cs="Times New Roman"/>
        </w:rPr>
        <w:t xml:space="preserve"> faculty, students, and insti</w:t>
      </w:r>
      <w:r w:rsidR="004B717C" w:rsidRPr="00834944">
        <w:rPr>
          <w:rFonts w:ascii="Times New Roman" w:hAnsi="Times New Roman" w:cs="Times New Roman"/>
        </w:rPr>
        <w:t>tutional policies</w:t>
      </w:r>
      <w:r w:rsidR="00B0187C" w:rsidRPr="00834944">
        <w:rPr>
          <w:rFonts w:ascii="Times New Roman" w:hAnsi="Times New Roman" w:cs="Times New Roman"/>
        </w:rPr>
        <w:t xml:space="preserve"> in relation to one another.</w:t>
      </w:r>
      <w:r w:rsidR="008A5311" w:rsidRPr="00834944">
        <w:rPr>
          <w:rFonts w:ascii="Times New Roman" w:hAnsi="Times New Roman" w:cs="Times New Roman"/>
        </w:rPr>
        <w:t xml:space="preserve"> To achieve full participation of students and faculty in transformed, inclusive institutions of higher edu</w:t>
      </w:r>
      <w:r w:rsidR="004B717C" w:rsidRPr="00834944">
        <w:rPr>
          <w:rFonts w:ascii="Times New Roman" w:hAnsi="Times New Roman" w:cs="Times New Roman"/>
        </w:rPr>
        <w:t xml:space="preserve">cation suggests the need to </w:t>
      </w:r>
      <w:r w:rsidR="00772319" w:rsidRPr="00834944">
        <w:rPr>
          <w:rFonts w:ascii="Times New Roman" w:hAnsi="Times New Roman" w:cs="Times New Roman"/>
        </w:rPr>
        <w:t xml:space="preserve">address </w:t>
      </w:r>
      <w:r w:rsidR="008A5311" w:rsidRPr="00834944">
        <w:rPr>
          <w:rFonts w:ascii="Times New Roman" w:hAnsi="Times New Roman" w:cs="Times New Roman"/>
        </w:rPr>
        <w:t xml:space="preserve">at least four critical questions: </w:t>
      </w:r>
    </w:p>
    <w:p w:rsidR="008A5311" w:rsidRPr="00834944" w:rsidRDefault="00772319" w:rsidP="004B717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834944">
        <w:rPr>
          <w:rFonts w:ascii="Times New Roman" w:hAnsi="Times New Roman"/>
          <w:color w:val="000000"/>
          <w:sz w:val="24"/>
        </w:rPr>
        <w:t>“</w:t>
      </w:r>
      <w:r w:rsidR="008A5311" w:rsidRPr="00834944">
        <w:rPr>
          <w:rFonts w:ascii="Times New Roman" w:hAnsi="Times New Roman"/>
          <w:color w:val="000000"/>
          <w:sz w:val="24"/>
        </w:rPr>
        <w:t xml:space="preserve">How do racism, sexism, classism, and other forms </w:t>
      </w:r>
      <w:r w:rsidRPr="00834944">
        <w:rPr>
          <w:rFonts w:ascii="Times New Roman" w:hAnsi="Times New Roman"/>
          <w:color w:val="000000"/>
          <w:sz w:val="24"/>
        </w:rPr>
        <w:t>of subordination shape institu</w:t>
      </w:r>
      <w:r w:rsidR="008A5311" w:rsidRPr="00834944">
        <w:rPr>
          <w:rFonts w:ascii="Times New Roman" w:hAnsi="Times New Roman"/>
          <w:color w:val="000000"/>
          <w:sz w:val="24"/>
        </w:rPr>
        <w:t>tions of education?</w:t>
      </w:r>
    </w:p>
    <w:p w:rsidR="008A5311" w:rsidRPr="00834944" w:rsidRDefault="004B717C" w:rsidP="004B717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834944">
        <w:rPr>
          <w:rFonts w:ascii="Times New Roman" w:hAnsi="Times New Roman"/>
          <w:color w:val="000000"/>
          <w:sz w:val="24"/>
        </w:rPr>
        <w:t xml:space="preserve">  </w:t>
      </w:r>
      <w:r w:rsidR="008A5311" w:rsidRPr="00834944">
        <w:rPr>
          <w:rFonts w:ascii="Times New Roman" w:hAnsi="Times New Roman"/>
          <w:color w:val="000000"/>
          <w:sz w:val="24"/>
        </w:rPr>
        <w:t>How do educational structures, practices, and discourses maintain race-, gender-, and class-based discrimination?</w:t>
      </w:r>
    </w:p>
    <w:p w:rsidR="008A5311" w:rsidRPr="00834944" w:rsidRDefault="004B717C" w:rsidP="004B717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4"/>
        </w:rPr>
      </w:pPr>
      <w:r w:rsidRPr="00834944">
        <w:rPr>
          <w:rFonts w:ascii="Times New Roman" w:hAnsi="Times New Roman"/>
          <w:color w:val="000000"/>
          <w:sz w:val="24"/>
        </w:rPr>
        <w:t xml:space="preserve">  </w:t>
      </w:r>
      <w:r w:rsidR="008A5311" w:rsidRPr="00834944">
        <w:rPr>
          <w:rFonts w:ascii="Times New Roman" w:hAnsi="Times New Roman"/>
          <w:color w:val="000000"/>
          <w:sz w:val="24"/>
        </w:rPr>
        <w:t>How do students and faculty of color respond to and resist racism, sexism, classism, and other forms of subordination in education?</w:t>
      </w:r>
    </w:p>
    <w:p w:rsidR="00B0187C" w:rsidRPr="00834944" w:rsidRDefault="008A5311" w:rsidP="004B717C">
      <w:pPr>
        <w:pStyle w:val="ListParagraph"/>
        <w:numPr>
          <w:ilvl w:val="0"/>
          <w:numId w:val="5"/>
        </w:numPr>
        <w:rPr>
          <w:rFonts w:ascii="Times New Roman" w:hAnsi="Times New Roman"/>
          <w:color w:val="000000"/>
          <w:sz w:val="24"/>
        </w:rPr>
      </w:pPr>
      <w:r w:rsidRPr="00834944">
        <w:rPr>
          <w:rFonts w:ascii="Times New Roman" w:hAnsi="Times New Roman"/>
          <w:color w:val="000000"/>
          <w:sz w:val="24"/>
        </w:rPr>
        <w:t>How can education become a tool to help end racism, sexism, classism, and other forms of subordination?</w:t>
      </w:r>
      <w:r w:rsidR="00772319" w:rsidRPr="00834944">
        <w:rPr>
          <w:rFonts w:ascii="Times New Roman" w:hAnsi="Times New Roman"/>
          <w:color w:val="000000"/>
          <w:sz w:val="24"/>
        </w:rPr>
        <w:t xml:space="preserve">” (Yosso, et. al, 2004, p. </w:t>
      </w:r>
      <w:r w:rsidRPr="00834944">
        <w:rPr>
          <w:rFonts w:ascii="Times New Roman" w:hAnsi="Times New Roman"/>
          <w:color w:val="000000"/>
          <w:sz w:val="24"/>
        </w:rPr>
        <w:t>6</w:t>
      </w:r>
      <w:r w:rsidR="00772319" w:rsidRPr="00834944">
        <w:rPr>
          <w:rFonts w:ascii="Times New Roman" w:hAnsi="Times New Roman"/>
          <w:color w:val="000000"/>
          <w:sz w:val="24"/>
        </w:rPr>
        <w:t>)</w:t>
      </w:r>
    </w:p>
    <w:p w:rsidR="00B0187C" w:rsidRPr="00834944" w:rsidRDefault="00B0187C" w:rsidP="004B717C">
      <w:pPr>
        <w:autoSpaceDE w:val="0"/>
        <w:autoSpaceDN w:val="0"/>
        <w:adjustRightInd w:val="0"/>
        <w:outlineLvl w:val="0"/>
        <w:rPr>
          <w:rFonts w:ascii="Times New Roman" w:hAnsi="Times New Roman" w:cs="Times New Roman"/>
          <w:b/>
        </w:rPr>
      </w:pPr>
      <w:r w:rsidRPr="00834944">
        <w:rPr>
          <w:rFonts w:ascii="Times New Roman" w:hAnsi="Times New Roman" w:cs="Times New Roman"/>
          <w:b/>
        </w:rPr>
        <w:t>Context – Diverse Students and Faculty</w:t>
      </w:r>
    </w:p>
    <w:p w:rsidR="006A2F98" w:rsidRPr="00834944" w:rsidRDefault="006A2F98" w:rsidP="00601DF6">
      <w:pPr>
        <w:spacing w:beforeLines="1" w:before="2" w:afterLines="1" w:after="2"/>
        <w:rPr>
          <w:rFonts w:ascii="Times New Roman" w:hAnsi="Times New Roman" w:cs="Times New Roman"/>
        </w:rPr>
      </w:pPr>
      <w:r w:rsidRPr="00834944">
        <w:rPr>
          <w:rFonts w:ascii="Times New Roman" w:hAnsi="Times New Roman" w:cs="Times New Roman"/>
        </w:rPr>
        <w:t>Diversity has many dimensions in the context of higher education. In relation to students, a shifting national demographic has reshaped the student population to be increasingly representative of underserved students – students of color, first-generation students, and/or</w:t>
      </w:r>
      <w:r w:rsidR="00EB690C" w:rsidRPr="00834944">
        <w:rPr>
          <w:rFonts w:ascii="Times New Roman" w:hAnsi="Times New Roman" w:cs="Times New Roman"/>
        </w:rPr>
        <w:t xml:space="preserve"> low-</w:t>
      </w:r>
      <w:r w:rsidRPr="00834944">
        <w:rPr>
          <w:rFonts w:ascii="Times New Roman" w:hAnsi="Times New Roman" w:cs="Times New Roman"/>
        </w:rPr>
        <w:t>income students</w:t>
      </w:r>
      <w:r w:rsidR="00EB690C" w:rsidRPr="00834944">
        <w:rPr>
          <w:rFonts w:ascii="Times New Roman" w:hAnsi="Times New Roman" w:cs="Times New Roman"/>
        </w:rPr>
        <w:t xml:space="preserve">. Students </w:t>
      </w:r>
      <w:r w:rsidR="004B717C" w:rsidRPr="00834944">
        <w:rPr>
          <w:rFonts w:ascii="Times New Roman" w:hAnsi="Times New Roman" w:cs="Times New Roman"/>
        </w:rPr>
        <w:t xml:space="preserve">increasingly </w:t>
      </w:r>
      <w:r w:rsidR="00EB690C" w:rsidRPr="00834944">
        <w:rPr>
          <w:rFonts w:ascii="Times New Roman" w:hAnsi="Times New Roman" w:cs="Times New Roman"/>
        </w:rPr>
        <w:t xml:space="preserve">represent racial, ethnic, cultural, gender, and socio-economic class diversity. For faculty, higher education institutions have struggled for more than a decade to create a more diverse academic workforce, with remarkably meager success. As an </w:t>
      </w:r>
      <w:r w:rsidR="00EB690C" w:rsidRPr="00834944">
        <w:rPr>
          <w:rFonts w:ascii="Times New Roman" w:hAnsi="Times New Roman" w:cs="Times New Roman"/>
        </w:rPr>
        <w:lastRenderedPageBreak/>
        <w:t xml:space="preserve">“industry,” higher education recognizes </w:t>
      </w:r>
      <w:r w:rsidR="004B717C" w:rsidRPr="00834944">
        <w:rPr>
          <w:rFonts w:ascii="Times New Roman" w:hAnsi="Times New Roman" w:cs="Times New Roman"/>
        </w:rPr>
        <w:t xml:space="preserve">that </w:t>
      </w:r>
      <w:r w:rsidR="00EB690C" w:rsidRPr="00834944">
        <w:rPr>
          <w:rFonts w:ascii="Times New Roman" w:hAnsi="Times New Roman" w:cs="Times New Roman"/>
        </w:rPr>
        <w:t xml:space="preserve">fulfillment of its mission, and for some campuses their very survival, is dependent upon both attracting and supporting diverse faculty and attracting and retaining a more diverse student body. </w:t>
      </w:r>
    </w:p>
    <w:p w:rsidR="006A2F98" w:rsidRPr="00834944" w:rsidRDefault="006A2F98" w:rsidP="00601DF6">
      <w:pPr>
        <w:spacing w:beforeLines="1" w:before="2" w:afterLines="1" w:after="2"/>
        <w:rPr>
          <w:rFonts w:ascii="Times New Roman" w:hAnsi="Times New Roman" w:cs="Times New Roman"/>
        </w:rPr>
      </w:pPr>
    </w:p>
    <w:p w:rsidR="00B0187C" w:rsidRPr="00834944" w:rsidRDefault="00B0187C" w:rsidP="00601DF6">
      <w:pPr>
        <w:spacing w:beforeLines="1" w:before="2" w:afterLines="1" w:after="2"/>
        <w:rPr>
          <w:rFonts w:ascii="Times New Roman" w:hAnsi="Times New Roman" w:cs="Times New Roman"/>
        </w:rPr>
      </w:pPr>
      <w:r w:rsidRPr="00834944">
        <w:rPr>
          <w:rFonts w:ascii="Times New Roman" w:hAnsi="Times New Roman" w:cs="Times New Roman"/>
        </w:rPr>
        <w:t xml:space="preserve">According to a recent report from the Institute for Higher Education Policy (IHEP), </w:t>
      </w:r>
      <w:hyperlink r:id="rId8" w:history="1">
        <w:r w:rsidRPr="00834944">
          <w:rPr>
            <w:rFonts w:ascii="Times New Roman" w:hAnsi="Times New Roman" w:cs="Times New Roman"/>
            <w:i/>
          </w:rPr>
          <w:t>A Portrait of Low-Income Young Adults in Education</w:t>
        </w:r>
      </w:hyperlink>
      <w:r w:rsidRPr="00834944">
        <w:rPr>
          <w:rFonts w:ascii="Times New Roman" w:hAnsi="Times New Roman" w:cs="Times New Roman"/>
        </w:rPr>
        <w:t xml:space="preserve"> (June 2010), there are 35.2 million low-income young adults in the United States who are between the ages of 18 and 26, and whose parents’ income or their own (if financially independent) is up to 200 percent of the federal poverty level. Young adults living in </w:t>
      </w:r>
      <w:r w:rsidR="00ED57B5" w:rsidRPr="00834944">
        <w:rPr>
          <w:rFonts w:ascii="Times New Roman" w:hAnsi="Times New Roman" w:cs="Times New Roman"/>
        </w:rPr>
        <w:t xml:space="preserve">“total </w:t>
      </w:r>
      <w:r w:rsidRPr="00834944">
        <w:rPr>
          <w:rFonts w:ascii="Times New Roman" w:hAnsi="Times New Roman" w:cs="Times New Roman"/>
        </w:rPr>
        <w:t>poverty</w:t>
      </w:r>
      <w:r w:rsidR="00ED57B5" w:rsidRPr="00834944">
        <w:rPr>
          <w:rFonts w:ascii="Times New Roman" w:hAnsi="Times New Roman" w:cs="Times New Roman"/>
        </w:rPr>
        <w:t>”</w:t>
      </w:r>
      <w:r w:rsidRPr="00834944">
        <w:rPr>
          <w:rFonts w:ascii="Times New Roman" w:hAnsi="Times New Roman" w:cs="Times New Roman"/>
        </w:rPr>
        <w:t xml:space="preserve"> are more likely to be Native American, Black, and Hispanic (59 percent, 57 percent, and 47 percent, respectively). </w:t>
      </w:r>
      <w:r w:rsidR="0057585E" w:rsidRPr="00834944">
        <w:rPr>
          <w:rFonts w:ascii="Times New Roman" w:hAnsi="Times New Roman" w:cs="Times New Roman"/>
        </w:rPr>
        <w:t>T</w:t>
      </w:r>
      <w:r w:rsidR="00ED57B5" w:rsidRPr="00834944">
        <w:rPr>
          <w:rFonts w:ascii="Times New Roman" w:hAnsi="Times New Roman" w:cs="Times New Roman"/>
        </w:rPr>
        <w:t xml:space="preserve">his stands in </w:t>
      </w:r>
      <w:r w:rsidR="0057585E" w:rsidRPr="00834944">
        <w:rPr>
          <w:rFonts w:ascii="Times New Roman" w:hAnsi="Times New Roman" w:cs="Times New Roman"/>
        </w:rPr>
        <w:t xml:space="preserve">contrast to </w:t>
      </w:r>
      <w:r w:rsidRPr="00834944">
        <w:rPr>
          <w:rFonts w:ascii="Times New Roman" w:hAnsi="Times New Roman" w:cs="Times New Roman"/>
        </w:rPr>
        <w:t>47 percent of their White and 40 percent of their Asian contemporaries</w:t>
      </w:r>
      <w:r w:rsidR="0057585E" w:rsidRPr="00834944">
        <w:rPr>
          <w:rFonts w:ascii="Times New Roman" w:hAnsi="Times New Roman" w:cs="Times New Roman"/>
        </w:rPr>
        <w:t>.</w:t>
      </w:r>
    </w:p>
    <w:p w:rsidR="00B0187C" w:rsidRPr="00834944" w:rsidRDefault="00B0187C" w:rsidP="004B717C">
      <w:pPr>
        <w:rPr>
          <w:rFonts w:ascii="Times New Roman" w:hAnsi="Times New Roman" w:cs="Times New Roman"/>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34944">
        <w:rPr>
          <w:rFonts w:ascii="Times New Roman" w:hAnsi="Times New Roman" w:cs="Times New Roman"/>
          <w:color w:val="000000"/>
        </w:rPr>
        <w:t>College enrollments for Blacks and Hispanics have increased nationwide and there is a widespread perception that major strides have been made to meet the goals of equal educational opportunity.</w:t>
      </w:r>
      <w:r w:rsidRPr="00834944">
        <w:rPr>
          <w:rFonts w:ascii="Times New Roman" w:hAnsi="Times New Roman" w:cs="Times New Roman"/>
          <w:color w:val="000000"/>
        </w:rPr>
        <w:tab/>
        <w:t xml:space="preserve">Even though the number of underrepresented students (including low income or first-generation students and students of color) who go to college and earn a degree is an impressive accomplishment when compared to forty years ago, the gap between Blacks and Hispanics, on the one hand, and their white, non-Hispanic counterparts persists and continues to grow (Ruppert, 2003). Students of color lag well behind whites in completing college. In 2001, of high school completers ages 25 to 29, about 37% of </w:t>
      </w:r>
      <w:r w:rsidR="007841E1" w:rsidRPr="00834944">
        <w:rPr>
          <w:rFonts w:ascii="Times New Roman" w:hAnsi="Times New Roman" w:cs="Times New Roman"/>
          <w:color w:val="000000"/>
        </w:rPr>
        <w:t>W</w:t>
      </w:r>
      <w:r w:rsidRPr="00834944">
        <w:rPr>
          <w:rFonts w:ascii="Times New Roman" w:hAnsi="Times New Roman" w:cs="Times New Roman"/>
          <w:color w:val="000000"/>
        </w:rPr>
        <w:t xml:space="preserve">hites, 21% of </w:t>
      </w:r>
      <w:r w:rsidR="007841E1" w:rsidRPr="00834944">
        <w:rPr>
          <w:rFonts w:ascii="Times New Roman" w:hAnsi="Times New Roman" w:cs="Times New Roman"/>
          <w:color w:val="000000"/>
        </w:rPr>
        <w:t>B</w:t>
      </w:r>
      <w:r w:rsidRPr="00834944">
        <w:rPr>
          <w:rFonts w:ascii="Times New Roman" w:hAnsi="Times New Roman" w:cs="Times New Roman"/>
          <w:color w:val="000000"/>
        </w:rPr>
        <w:t xml:space="preserve">lacks, and 16% of Hispanics had received a bachelor’s degree. The assumption that progress has been made </w:t>
      </w:r>
      <w:r w:rsidRPr="00834944">
        <w:rPr>
          <w:rFonts w:ascii="Times New Roman" w:hAnsi="Times New Roman" w:cs="Times New Roman"/>
          <w:i/>
          <w:iCs/>
          <w:color w:val="000000"/>
        </w:rPr>
        <w:t xml:space="preserve">beyond access </w:t>
      </w:r>
      <w:r w:rsidRPr="00834944">
        <w:rPr>
          <w:rFonts w:ascii="Times New Roman" w:hAnsi="Times New Roman" w:cs="Times New Roman"/>
          <w:color w:val="000000"/>
        </w:rPr>
        <w:t>into higher education for African Americans and Latinos is not supported by the evidence (Swail et al., 2003). The achievement gap among these groups is substantial nationwide and has not diminished in the last fifteen years (Bok, 2003). A pervasive rhetoric of America as a near “post-racial society” further confuses the issues even when there exists no indicator of social health that demonstrates that “minorities” are on par with their white counterparts.</w:t>
      </w:r>
    </w:p>
    <w:p w:rsidR="002E6B23" w:rsidRPr="00834944" w:rsidRDefault="002E6B23" w:rsidP="004B717C">
      <w:pPr>
        <w:rPr>
          <w:rFonts w:ascii="Times New Roman" w:hAnsi="Times New Roman" w:cs="Times New Roman"/>
        </w:rPr>
      </w:pPr>
    </w:p>
    <w:p w:rsidR="00B0187C" w:rsidRPr="00834944" w:rsidRDefault="002E6B23" w:rsidP="004B717C">
      <w:pPr>
        <w:rPr>
          <w:rFonts w:ascii="Times New Roman" w:hAnsi="Times New Roman" w:cs="Times New Roman"/>
        </w:rPr>
      </w:pPr>
      <w:r w:rsidRPr="00834944">
        <w:rPr>
          <w:rFonts w:ascii="Times New Roman" w:hAnsi="Times New Roman" w:cs="Times New Roman"/>
        </w:rPr>
        <w:t>Research</w:t>
      </w:r>
      <w:r w:rsidR="00B0187C" w:rsidRPr="00834944">
        <w:rPr>
          <w:rFonts w:ascii="Times New Roman" w:hAnsi="Times New Roman" w:cs="Times New Roman"/>
        </w:rPr>
        <w:t xml:space="preserve"> indicates that the academic success of systematically and traditionally underserved students is enhanced by increased opportunities to participate in high-impact teaching and learning practices - practices that involve greater engagement in learning. One of these practices is community-based teaching and learning (often referred to as service-learning or community engagement tied to the curriculum) (Kuh, 2008). </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Further, research indicates that the academic success of underserved students is enhanced by increased opportunities to identify with faculty and staff who represent ethnic, racial, gender, and cultural diversity (Hurtado,  2001, 2007; Milem </w:t>
      </w:r>
      <w:r w:rsidR="007841E1" w:rsidRPr="00834944">
        <w:rPr>
          <w:rFonts w:ascii="Times New Roman" w:hAnsi="Times New Roman" w:cs="Times New Roman"/>
        </w:rPr>
        <w:t>e</w:t>
      </w:r>
      <w:r w:rsidRPr="00834944">
        <w:rPr>
          <w:rFonts w:ascii="Times New Roman" w:hAnsi="Times New Roman" w:cs="Times New Roman"/>
        </w:rPr>
        <w:t>t</w:t>
      </w:r>
      <w:r w:rsidR="007841E1" w:rsidRPr="00834944">
        <w:rPr>
          <w:rFonts w:ascii="Times New Roman" w:hAnsi="Times New Roman" w:cs="Times New Roman"/>
        </w:rPr>
        <w:t>.</w:t>
      </w:r>
      <w:r w:rsidRPr="00834944">
        <w:rPr>
          <w:rFonts w:ascii="Times New Roman" w:hAnsi="Times New Roman" w:cs="Times New Roman"/>
        </w:rPr>
        <w:t xml:space="preserve"> al, 2005).</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rPr>
        <w:t>It is also apparent that along with demographic shifts among students, there are demographic shifts among faculty. We are seeing greater diversity among graduate students and early career faculty – and a rotating door for careers in higher education. The academy is attracting more under-represented faculty than ever before, but those faculty are leaving in greater numbers than coming in (</w:t>
      </w:r>
      <w:r w:rsidRPr="00834944">
        <w:rPr>
          <w:rFonts w:ascii="Times New Roman" w:hAnsi="Times New Roman" w:cs="Times New Roman"/>
          <w:color w:val="141413"/>
        </w:rPr>
        <w:t>Moreno, 2006</w:t>
      </w:r>
      <w:r w:rsidRPr="00834944">
        <w:rPr>
          <w:rFonts w:ascii="Times New Roman" w:hAnsi="Times New Roman" w:cs="Times New Roman"/>
        </w:rPr>
        <w:t>)</w:t>
      </w:r>
    </w:p>
    <w:p w:rsidR="00B0187C" w:rsidRPr="00834944" w:rsidRDefault="00B0187C" w:rsidP="004B717C">
      <w:pPr>
        <w:autoSpaceDE w:val="0"/>
        <w:autoSpaceDN w:val="0"/>
        <w:adjustRightInd w:val="0"/>
        <w:rPr>
          <w:rFonts w:ascii="Times New Roman" w:hAnsi="Times New Roman" w:cs="Times New Roman"/>
        </w:rPr>
      </w:pPr>
    </w:p>
    <w:p w:rsidR="00B0187C" w:rsidRPr="00834944" w:rsidRDefault="00B0187C" w:rsidP="004B717C">
      <w:pPr>
        <w:autoSpaceDE w:val="0"/>
        <w:autoSpaceDN w:val="0"/>
        <w:adjustRightInd w:val="0"/>
        <w:rPr>
          <w:rFonts w:ascii="Times New Roman" w:hAnsi="Times New Roman" w:cs="Times New Roman"/>
        </w:rPr>
      </w:pPr>
      <w:r w:rsidRPr="00834944">
        <w:rPr>
          <w:rFonts w:ascii="Times New Roman" w:hAnsi="Times New Roman" w:cs="Times New Roman"/>
        </w:rPr>
        <w:t xml:space="preserve">Research has documented that women and faculty of color are more likely to engage in both interdisciplinary and community-service-related behaviors, including community engaged and inclusive pedagogical practice in teaching and learning and building research agendas related to public problem-solving in local communities and are more likely to cite such experiences as critical to their purpose in the academy. (Baez, 2000; Antonio, Astin and Cress, 2000; Antonio, 2002; </w:t>
      </w:r>
      <w:r w:rsidRPr="00834944">
        <w:rPr>
          <w:rFonts w:ascii="Times New Roman" w:hAnsi="Times New Roman" w:cs="Times New Roman"/>
          <w:color w:val="000000"/>
        </w:rPr>
        <w:t>Vogelgesang, Denson, Jayakumar, 2010; Rhoads, et al., 2008; Hale, ed., 2008; Ibarra, 2001</w:t>
      </w:r>
      <w:r w:rsidRPr="00834944">
        <w:rPr>
          <w:rFonts w:ascii="Times New Roman" w:hAnsi="Times New Roman" w:cs="Times New Roman"/>
        </w:rPr>
        <w:t>)</w:t>
      </w:r>
    </w:p>
    <w:p w:rsidR="00B0187C" w:rsidRPr="00834944" w:rsidRDefault="00B0187C" w:rsidP="004B717C">
      <w:pPr>
        <w:autoSpaceDE w:val="0"/>
        <w:autoSpaceDN w:val="0"/>
        <w:adjustRightInd w:val="0"/>
        <w:rPr>
          <w:rFonts w:ascii="Times New Roman" w:hAnsi="Times New Roman" w:cs="Times New Roman"/>
        </w:rPr>
      </w:pPr>
    </w:p>
    <w:p w:rsidR="00B0187C" w:rsidRPr="00834944" w:rsidRDefault="00B0187C" w:rsidP="004B717C">
      <w:pPr>
        <w:autoSpaceDE w:val="0"/>
        <w:autoSpaceDN w:val="0"/>
        <w:adjustRightInd w:val="0"/>
        <w:rPr>
          <w:rFonts w:ascii="Times New Roman" w:hAnsi="Times New Roman" w:cs="Times New Roman"/>
        </w:rPr>
      </w:pPr>
      <w:r w:rsidRPr="00834944">
        <w:rPr>
          <w:rFonts w:ascii="Times New Roman" w:hAnsi="Times New Roman" w:cs="Times New Roman"/>
        </w:rPr>
        <w:t xml:space="preserve">Additionally, there is research indicating that faculty roles and rewards –criteria for research, scholarship, and creative activity – either 1) reward community engagement as service (counting little in promotion and tenure) or 2) do not specifically reward community engagement as </w:t>
      </w:r>
      <w:r w:rsidR="004B717C" w:rsidRPr="00834944">
        <w:rPr>
          <w:rFonts w:ascii="Times New Roman" w:hAnsi="Times New Roman" w:cs="Times New Roman"/>
        </w:rPr>
        <w:t xml:space="preserve">either </w:t>
      </w:r>
      <w:r w:rsidRPr="00834944">
        <w:rPr>
          <w:rFonts w:ascii="Times New Roman" w:hAnsi="Times New Roman" w:cs="Times New Roman"/>
        </w:rPr>
        <w:t>teaching, research and creative activity, or service. Institutional policies create disincentives for faculty to undertake community engagement through their faculty roles (Saltmarsh, et al, 2</w:t>
      </w:r>
      <w:r w:rsidR="007841E1" w:rsidRPr="00834944">
        <w:rPr>
          <w:rFonts w:ascii="Times New Roman" w:hAnsi="Times New Roman" w:cs="Times New Roman"/>
        </w:rPr>
        <w:t>0</w:t>
      </w:r>
      <w:r w:rsidRPr="00834944">
        <w:rPr>
          <w:rFonts w:ascii="Times New Roman" w:hAnsi="Times New Roman" w:cs="Times New Roman"/>
        </w:rPr>
        <w:t>09; Ellison and Eatman, 2008)</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Efforts to connect diversity, community engagement, and student success in higher education have gained increased attention (Cress, C.M., Burack, C., Giles, D. E., Jr., Elkins, J, Stevens, M.C. (2010) </w:t>
      </w:r>
      <w:r w:rsidRPr="00834944">
        <w:rPr>
          <w:rFonts w:ascii="Times New Roman" w:hAnsi="Times New Roman" w:cs="Times New Roman"/>
          <w:i/>
        </w:rPr>
        <w:t>A Promising Connection: Increasing College Access and Success through Civic Engagement</w:t>
      </w:r>
      <w:r w:rsidRPr="00834944">
        <w:rPr>
          <w:rFonts w:ascii="Times New Roman" w:hAnsi="Times New Roman" w:cs="Times New Roman"/>
        </w:rPr>
        <w:t>. Boston, MA: Campus Compact). Yet, the dominant response continues to focus primarily on expanding access to higher education through programs in which undergraduate student volunteers support programs aimed at preparing underserved high school students for access to higher education. While such programs a</w:t>
      </w:r>
      <w:r w:rsidR="004B717C" w:rsidRPr="00834944">
        <w:rPr>
          <w:rFonts w:ascii="Times New Roman" w:hAnsi="Times New Roman" w:cs="Times New Roman"/>
        </w:rPr>
        <w:t xml:space="preserve">re laudable, they are not sufficient, in part because they do not examine organizational cultures in higher education that would shift the focus from </w:t>
      </w:r>
      <w:r w:rsidR="004B717C" w:rsidRPr="00834944">
        <w:rPr>
          <w:rFonts w:ascii="Times New Roman" w:hAnsi="Times New Roman" w:cs="Times New Roman"/>
          <w:i/>
        </w:rPr>
        <w:t>access to</w:t>
      </w:r>
      <w:r w:rsidR="004B717C" w:rsidRPr="00834944">
        <w:rPr>
          <w:rFonts w:ascii="Times New Roman" w:hAnsi="Times New Roman" w:cs="Times New Roman"/>
        </w:rPr>
        <w:t xml:space="preserve"> to </w:t>
      </w:r>
      <w:r w:rsidR="004B717C" w:rsidRPr="00834944">
        <w:rPr>
          <w:rFonts w:ascii="Times New Roman" w:hAnsi="Times New Roman" w:cs="Times New Roman"/>
          <w:i/>
        </w:rPr>
        <w:t>success through</w:t>
      </w:r>
      <w:r w:rsidR="004B717C" w:rsidRPr="00834944">
        <w:rPr>
          <w:rFonts w:ascii="Times New Roman" w:hAnsi="Times New Roman" w:cs="Times New Roman"/>
        </w:rPr>
        <w:t xml:space="preserve"> postsecondary education</w:t>
      </w:r>
      <w:r w:rsidRPr="00834944">
        <w:rPr>
          <w:rFonts w:ascii="Times New Roman" w:hAnsi="Times New Roman" w:cs="Times New Roman"/>
        </w:rPr>
        <w:t>.</w:t>
      </w:r>
    </w:p>
    <w:p w:rsidR="00B0187C" w:rsidRPr="00834944" w:rsidRDefault="00B0187C" w:rsidP="004B717C">
      <w:pPr>
        <w:rPr>
          <w:rFonts w:ascii="Times New Roman" w:hAnsi="Times New Roman" w:cs="Times New Roman"/>
        </w:rPr>
      </w:pPr>
    </w:p>
    <w:p w:rsidR="00B0187C" w:rsidRPr="00834944" w:rsidRDefault="00B0187C" w:rsidP="004B717C">
      <w:pPr>
        <w:outlineLvl w:val="0"/>
        <w:rPr>
          <w:rFonts w:ascii="Times New Roman" w:hAnsi="Times New Roman" w:cs="Times New Roman"/>
          <w:b/>
        </w:rPr>
      </w:pPr>
      <w:r w:rsidRPr="00834944">
        <w:rPr>
          <w:rFonts w:ascii="Times New Roman" w:hAnsi="Times New Roman" w:cs="Times New Roman"/>
          <w:b/>
        </w:rPr>
        <w:t>Problem Statement</w:t>
      </w:r>
    </w:p>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While there are efforts in higher education to explore the connections between diversity, community engagement, and student success, they typically address access but not persistence and success in higher education. Consequently, these efforts do not lead institutions of higher education to undertake significant organizational change aimed at creating environments in which underserved students and underrepresented faculty can thrive and succeed. Furthermore, the dominant approaches do not examine systemic organizational issues in a way that </w:t>
      </w:r>
      <w:r w:rsidR="007841E1" w:rsidRPr="00834944">
        <w:rPr>
          <w:rFonts w:ascii="Times New Roman" w:hAnsi="Times New Roman" w:cs="Times New Roman"/>
        </w:rPr>
        <w:t>links institutional</w:t>
      </w:r>
      <w:r w:rsidRPr="00834944">
        <w:rPr>
          <w:rFonts w:ascii="Times New Roman" w:hAnsi="Times New Roman" w:cs="Times New Roman"/>
        </w:rPr>
        <w:t xml:space="preserve"> reward policies to </w:t>
      </w:r>
      <w:r w:rsidR="002E6B23" w:rsidRPr="00834944">
        <w:rPr>
          <w:rFonts w:ascii="Times New Roman" w:hAnsi="Times New Roman" w:cs="Times New Roman"/>
        </w:rPr>
        <w:t>two</w:t>
      </w:r>
      <w:r w:rsidRPr="00834944">
        <w:rPr>
          <w:rFonts w:ascii="Times New Roman" w:hAnsi="Times New Roman" w:cs="Times New Roman"/>
        </w:rPr>
        <w:t xml:space="preserve"> critical domains: student diversity, including diverse learning styles</w:t>
      </w:r>
      <w:r w:rsidR="002E6B23" w:rsidRPr="00834944">
        <w:rPr>
          <w:rFonts w:ascii="Times New Roman" w:hAnsi="Times New Roman" w:cs="Times New Roman"/>
        </w:rPr>
        <w:t xml:space="preserve">, and </w:t>
      </w:r>
      <w:r w:rsidRPr="00834944">
        <w:rPr>
          <w:rFonts w:ascii="Times New Roman" w:hAnsi="Times New Roman" w:cs="Times New Roman"/>
        </w:rPr>
        <w:t xml:space="preserve">faculty diversity, including diverse pedagogical practices and diverse forms of scholarship. </w:t>
      </w:r>
    </w:p>
    <w:p w:rsidR="00B0187C" w:rsidRPr="00834944" w:rsidRDefault="00B0187C" w:rsidP="00601DF6">
      <w:pPr>
        <w:spacing w:beforeLines="1" w:before="2" w:afterLines="1" w:after="2"/>
        <w:rPr>
          <w:rFonts w:ascii="Times New Roman" w:hAnsi="Times New Roman" w:cs="Times New Roman"/>
          <w:i/>
        </w:rPr>
      </w:pPr>
    </w:p>
    <w:p w:rsidR="00B0187C" w:rsidRPr="00834944" w:rsidRDefault="00B0187C" w:rsidP="00601DF6">
      <w:pPr>
        <w:spacing w:beforeLines="1" w:before="2" w:afterLines="1" w:after="2"/>
        <w:rPr>
          <w:rFonts w:ascii="Times New Roman" w:hAnsi="Times New Roman" w:cs="Times New Roman"/>
        </w:rPr>
      </w:pPr>
      <w:r w:rsidRPr="00834944">
        <w:rPr>
          <w:rFonts w:ascii="Times New Roman" w:hAnsi="Times New Roman" w:cs="Times New Roman"/>
        </w:rPr>
        <w:t>The challenge of achieving the full participation of diverse students and diverse faculty in higher education and beyond--in democratic communities and institutions--focuses our attention on a set of connections that has yet to be rigorously addressed: the connections among (1) active teaching and learning, (2) collaborative knowledge creation, and (3) the academic success of underserved students. Understanding this matrix is a necessary pre-condition for fundamental changes in institutional cultures, structures, policies, and practices at colleges and universities. Only a  comprehensive, integrative approach to multi-generational communities of faculty and students  and to the full continuum of teaching, learning, and research  that defines such communities can ensure that all students—but especially those with the fewest resources—have access to the opportunities they need to succeed in school and to fully participate in the economic, social, political, and civic life of the nation. Full participation is about educating people for participation in a wider public culture of democracy. It calls for a fundamental reorientation of higher education toward addressing equity and opportunity in deeper, more complex, and more transformative ways.  Above all, it requires that we look at faculty, students, and institutional policies affecting both in relation to one another.</w:t>
      </w:r>
    </w:p>
    <w:p w:rsidR="00B0187C" w:rsidRPr="00834944" w:rsidRDefault="00B0187C" w:rsidP="00601DF6">
      <w:pPr>
        <w:spacing w:beforeLines="1" w:before="2" w:afterLines="1" w:after="2"/>
        <w:rPr>
          <w:rFonts w:ascii="Times New Roman" w:hAnsi="Times New Roman" w:cs="Times New Roman"/>
          <w:b/>
        </w:rPr>
      </w:pPr>
    </w:p>
    <w:p w:rsidR="00B0187C" w:rsidRPr="00834944" w:rsidRDefault="00B0187C" w:rsidP="00601DF6">
      <w:pPr>
        <w:spacing w:beforeLines="1" w:before="2" w:afterLines="1" w:after="2"/>
        <w:outlineLvl w:val="0"/>
        <w:rPr>
          <w:rFonts w:ascii="Times New Roman" w:hAnsi="Times New Roman" w:cs="Times New Roman"/>
          <w:b/>
        </w:rPr>
      </w:pPr>
      <w:r w:rsidRPr="00834944">
        <w:rPr>
          <w:rFonts w:ascii="Times New Roman" w:hAnsi="Times New Roman" w:cs="Times New Roman"/>
          <w:b/>
        </w:rPr>
        <w:t>Research Questions</w:t>
      </w:r>
    </w:p>
    <w:p w:rsidR="00172271" w:rsidRPr="00834944" w:rsidRDefault="00172271" w:rsidP="004B717C">
      <w:pPr>
        <w:rPr>
          <w:rFonts w:ascii="Times New Roman" w:hAnsi="Times New Roman" w:cs="Times New Roman"/>
        </w:rPr>
      </w:pPr>
      <w:r w:rsidRPr="00834944">
        <w:rPr>
          <w:rFonts w:ascii="Times New Roman" w:hAnsi="Times New Roman" w:cs="Times New Roman"/>
        </w:rPr>
        <w:t xml:space="preserve">Our research into these complex relationships begins by asking questions about faculty because </w:t>
      </w:r>
      <w:r w:rsidR="004642C4" w:rsidRPr="00834944">
        <w:rPr>
          <w:rFonts w:ascii="Times New Roman" w:hAnsi="Times New Roman" w:cs="Times New Roman"/>
        </w:rPr>
        <w:t xml:space="preserve">we believe that the foregoing research calls for much deeper understandings about the evolution of faculty lives and work as it relates to the range of learning experiences that postsecondary students encounter within the collegiate milieu. </w:t>
      </w:r>
      <w:r w:rsidR="00B0187C" w:rsidRPr="00834944">
        <w:rPr>
          <w:rFonts w:ascii="Times New Roman" w:hAnsi="Times New Roman" w:cs="Times New Roman"/>
        </w:rPr>
        <w:t>What can the experiences of college and university faculty members who--for reasons of race, ethnicity, and/or gender--are members of historically underrepresented groups reveal about organizational factors that facilitate or inhibit the full participation of young adults and adult professionals in higher education?</w:t>
      </w:r>
    </w:p>
    <w:p w:rsidR="00B0187C" w:rsidRPr="00834944" w:rsidRDefault="00172271" w:rsidP="004B717C">
      <w:pPr>
        <w:rPr>
          <w:rFonts w:ascii="Times New Roman" w:hAnsi="Times New Roman" w:cs="Times New Roman"/>
          <w:i/>
        </w:rPr>
      </w:pPr>
      <w:r w:rsidRPr="00834944" w:rsidDel="00172271">
        <w:rPr>
          <w:rFonts w:ascii="Times New Roman" w:hAnsi="Times New Roman" w:cs="Times New Roman"/>
        </w:rPr>
        <w:t xml:space="preserve"> </w:t>
      </w:r>
    </w:p>
    <w:p w:rsidR="006A2F98" w:rsidRPr="00834944" w:rsidRDefault="00B0187C" w:rsidP="004B717C">
      <w:pPr>
        <w:spacing w:before="2" w:after="2"/>
        <w:rPr>
          <w:rFonts w:ascii="Times New Roman" w:hAnsi="Times New Roman" w:cs="Times New Roman"/>
        </w:rPr>
      </w:pPr>
      <w:r w:rsidRPr="00834944">
        <w:rPr>
          <w:rFonts w:ascii="Times New Roman" w:hAnsi="Times New Roman" w:cs="Times New Roman"/>
        </w:rPr>
        <w:t>Secondary questions:</w:t>
      </w:r>
    </w:p>
    <w:p w:rsidR="00B0187C" w:rsidRPr="00834944" w:rsidRDefault="00B0187C" w:rsidP="00601DF6">
      <w:pPr>
        <w:spacing w:beforeLines="1" w:before="2" w:afterLines="1" w:after="2"/>
        <w:rPr>
          <w:rFonts w:ascii="Times New Roman" w:hAnsi="Times New Roman" w:cs="Times New Roman"/>
        </w:rPr>
      </w:pPr>
    </w:p>
    <w:p w:rsidR="00B0187C" w:rsidRPr="00834944" w:rsidRDefault="00B0187C" w:rsidP="00601DF6">
      <w:pPr>
        <w:pStyle w:val="ListParagraph"/>
        <w:numPr>
          <w:ilvl w:val="0"/>
          <w:numId w:val="4"/>
        </w:numPr>
        <w:spacing w:beforeLines="1" w:before="2" w:afterLines="1" w:after="2"/>
        <w:rPr>
          <w:rFonts w:ascii="Times New Roman" w:hAnsi="Times New Roman" w:cs="Times New Roman"/>
          <w:sz w:val="24"/>
          <w:szCs w:val="24"/>
        </w:rPr>
      </w:pPr>
      <w:r w:rsidRPr="00834944">
        <w:rPr>
          <w:rFonts w:ascii="Times New Roman" w:hAnsi="Times New Roman" w:cs="Times New Roman"/>
          <w:sz w:val="24"/>
          <w:szCs w:val="24"/>
        </w:rPr>
        <w:t>In what ways are faculty research interests and approaches shaped by social issues in communities?</w:t>
      </w:r>
    </w:p>
    <w:p w:rsidR="00B0187C" w:rsidRPr="00834944" w:rsidRDefault="00B0187C" w:rsidP="00601DF6">
      <w:pPr>
        <w:pStyle w:val="ListParagraph"/>
        <w:numPr>
          <w:ilvl w:val="0"/>
          <w:numId w:val="4"/>
        </w:numPr>
        <w:spacing w:beforeLines="1" w:before="2" w:afterLines="1" w:after="2"/>
        <w:rPr>
          <w:rFonts w:ascii="Times New Roman" w:hAnsi="Times New Roman" w:cs="Times New Roman"/>
          <w:sz w:val="24"/>
          <w:szCs w:val="24"/>
        </w:rPr>
      </w:pPr>
      <w:r w:rsidRPr="00834944">
        <w:rPr>
          <w:rFonts w:ascii="Times New Roman" w:hAnsi="Times New Roman" w:cs="Times New Roman"/>
          <w:sz w:val="24"/>
          <w:szCs w:val="24"/>
        </w:rPr>
        <w:t>In what ways are the teaching and learning practices of faculty shaped by the diversity of learners in the classroom?</w:t>
      </w:r>
    </w:p>
    <w:p w:rsidR="00B0187C" w:rsidRPr="00834944" w:rsidRDefault="00B0187C" w:rsidP="00601DF6">
      <w:pPr>
        <w:pStyle w:val="ListParagraph"/>
        <w:numPr>
          <w:ilvl w:val="0"/>
          <w:numId w:val="4"/>
        </w:numPr>
        <w:spacing w:beforeLines="1" w:before="2" w:afterLines="1" w:after="2"/>
        <w:rPr>
          <w:rFonts w:ascii="Times New Roman" w:hAnsi="Times New Roman" w:cs="Times New Roman"/>
          <w:sz w:val="24"/>
          <w:szCs w:val="24"/>
        </w:rPr>
      </w:pPr>
      <w:r w:rsidRPr="00834944">
        <w:rPr>
          <w:rFonts w:ascii="Times New Roman" w:hAnsi="Times New Roman" w:cs="Times New Roman"/>
          <w:sz w:val="24"/>
          <w:szCs w:val="24"/>
        </w:rPr>
        <w:t xml:space="preserve">In what ways are the faculty roles of teaching, research, and service defined in ways that facilitate the professional success of underrepresented faculty </w:t>
      </w:r>
      <w:r w:rsidRPr="00834944">
        <w:rPr>
          <w:rFonts w:ascii="Times New Roman" w:hAnsi="Times New Roman" w:cs="Times New Roman"/>
          <w:i/>
          <w:sz w:val="24"/>
          <w:szCs w:val="24"/>
        </w:rPr>
        <w:t>and</w:t>
      </w:r>
      <w:r w:rsidRPr="00834944">
        <w:rPr>
          <w:rFonts w:ascii="Times New Roman" w:hAnsi="Times New Roman" w:cs="Times New Roman"/>
          <w:sz w:val="24"/>
          <w:szCs w:val="24"/>
        </w:rPr>
        <w:t xml:space="preserve"> the academic success of underserved students?</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The purpose of the proposed project is more fully to reveal the professional and organizational dimensions of faculty diversity and to explore the implications of these initial findings for student success. Based on this analysis, our goal is to develop a research agenda that will lead to a greater understanding of  how changes in institutional practice and policy can contribute to fuller participation in higher education.  </w:t>
      </w:r>
    </w:p>
    <w:p w:rsidR="00B0187C" w:rsidRPr="00834944" w:rsidRDefault="00B0187C" w:rsidP="004B717C">
      <w:pPr>
        <w:rPr>
          <w:rFonts w:ascii="Times New Roman" w:hAnsi="Times New Roman" w:cs="Times New Roman"/>
        </w:rPr>
      </w:pPr>
    </w:p>
    <w:p w:rsidR="00772319" w:rsidRPr="00834944" w:rsidRDefault="00B0187C" w:rsidP="00601DF6">
      <w:pPr>
        <w:spacing w:beforeLines="1" w:before="2" w:afterLines="1" w:after="2"/>
        <w:outlineLvl w:val="0"/>
        <w:rPr>
          <w:rFonts w:ascii="Times New Roman" w:hAnsi="Times New Roman" w:cs="Times New Roman"/>
          <w:b/>
        </w:rPr>
      </w:pPr>
      <w:r w:rsidRPr="00834944">
        <w:rPr>
          <w:rFonts w:ascii="Times New Roman" w:hAnsi="Times New Roman" w:cs="Times New Roman"/>
          <w:b/>
        </w:rPr>
        <w:t>Theory of Change</w:t>
      </w:r>
    </w:p>
    <w:p w:rsidR="004066E3" w:rsidRPr="00834944" w:rsidRDefault="00B0187C" w:rsidP="00601DF6">
      <w:pPr>
        <w:spacing w:beforeLines="1" w:before="2" w:afterLines="1" w:after="2"/>
        <w:outlineLvl w:val="0"/>
        <w:rPr>
          <w:rFonts w:ascii="Times New Roman" w:hAnsi="Times New Roman" w:cs="Times New Roman"/>
        </w:rPr>
      </w:pPr>
      <w:r w:rsidRPr="00834944">
        <w:rPr>
          <w:rFonts w:ascii="Times New Roman" w:hAnsi="Times New Roman" w:cs="Times New Roman"/>
        </w:rPr>
        <w:t xml:space="preserve">The proposed project is grounded in the work of Susan Sturm (2006) that frames inclusiveness as a core institutional value and democratic imperative for institutions of higher education. The current project is grounded in the understanding that institutions of higher education will not embrace diversity for diversity’s sake, nor will they embrace civic engagement for the sake of civic engagement. Both diversity and civic engagement need to be pursued as means to a larger and more central aim of building inclusive organizations in which all of its members  realize their full potential through full participation in the life of the organization. The concept of full participation </w:t>
      </w:r>
      <w:r w:rsidR="004066E3" w:rsidRPr="00834944">
        <w:rPr>
          <w:rFonts w:ascii="Times New Roman" w:hAnsi="Times New Roman" w:cs="Times New Roman"/>
        </w:rPr>
        <w:t xml:space="preserve">through “institutional citizenship” </w:t>
      </w:r>
      <w:r w:rsidRPr="00834944">
        <w:rPr>
          <w:rFonts w:ascii="Times New Roman" w:hAnsi="Times New Roman" w:cs="Times New Roman"/>
        </w:rPr>
        <w:t>is based on the premise that the fundamental goals of a democratic culture include social justice and equity. Full participation, Sturm argues, can be achieved through institutional transformation built upon an “architecture of inclusion” that incorporates new normative frameworks of knowledge generation and discovery, more active pedagogical practices, expanded research priorities and methods, reward policies that recognize a broad spectrum of scholarship, and more robust environmental supports. As Sturm writes, “there is a framework and methodology for pursuing inclusive institutions and for building the architecture to sustain the practice of inclusiveness (p. 4).”</w:t>
      </w:r>
      <w:r w:rsidR="006D4F16" w:rsidRPr="00834944">
        <w:rPr>
          <w:rFonts w:ascii="Times New Roman" w:hAnsi="Times New Roman" w:cs="Times New Roman"/>
        </w:rPr>
        <w:t xml:space="preserve"> </w:t>
      </w:r>
      <w:r w:rsidRPr="00834944">
        <w:rPr>
          <w:rFonts w:ascii="Times New Roman" w:hAnsi="Times New Roman" w:cs="Times New Roman"/>
        </w:rPr>
        <w:t>The principle of full participation, applied to organizations, establishes  “institutional citizenship” as a core value</w:t>
      </w:r>
      <w:r w:rsidR="004066E3" w:rsidRPr="00834944">
        <w:rPr>
          <w:rFonts w:ascii="Times New Roman" w:hAnsi="Times New Roman" w:cs="Times New Roman"/>
        </w:rPr>
        <w:t>.</w:t>
      </w:r>
    </w:p>
    <w:p w:rsidR="004066E3" w:rsidRPr="00834944" w:rsidRDefault="004066E3" w:rsidP="00601DF6">
      <w:pPr>
        <w:spacing w:beforeLines="1" w:before="2" w:afterLines="1" w:after="2"/>
        <w:outlineLvl w:val="0"/>
        <w:rPr>
          <w:rFonts w:ascii="Times New Roman" w:hAnsi="Times New Roman" w:cs="Times New Roman"/>
        </w:rPr>
      </w:pPr>
    </w:p>
    <w:p w:rsidR="004066E3" w:rsidRPr="00834944" w:rsidRDefault="004066E3" w:rsidP="00601DF6">
      <w:pPr>
        <w:spacing w:beforeLines="1" w:before="2" w:afterLines="1" w:after="2"/>
        <w:outlineLvl w:val="0"/>
        <w:rPr>
          <w:rFonts w:ascii="Times New Roman" w:hAnsi="Times New Roman" w:cs="Times New Roman"/>
          <w:b/>
        </w:rPr>
      </w:pPr>
      <w:r w:rsidRPr="00834944">
        <w:rPr>
          <w:rFonts w:ascii="Times New Roman" w:hAnsi="Times New Roman" w:cs="Times New Roman"/>
          <w:b/>
        </w:rPr>
        <w:t>Project Goals</w:t>
      </w:r>
    </w:p>
    <w:p w:rsidR="004066E3" w:rsidRPr="00834944" w:rsidRDefault="004066E3" w:rsidP="004B717C">
      <w:pPr>
        <w:rPr>
          <w:rFonts w:ascii="Times New Roman" w:hAnsi="Times New Roman" w:cs="Times New Roman"/>
        </w:rPr>
      </w:pPr>
      <w:r w:rsidRPr="00834944">
        <w:rPr>
          <w:rFonts w:ascii="Times New Roman" w:hAnsi="Times New Roman" w:cs="Times New Roman"/>
        </w:rPr>
        <w:t xml:space="preserve">The primary goals of this project are to </w:t>
      </w:r>
    </w:p>
    <w:p w:rsidR="004066E3" w:rsidRPr="00834944" w:rsidRDefault="004066E3" w:rsidP="004B717C">
      <w:pPr>
        <w:rPr>
          <w:rFonts w:ascii="Times New Roman" w:hAnsi="Times New Roman" w:cs="Times New Roman"/>
        </w:rPr>
      </w:pPr>
      <w:r w:rsidRPr="00834944">
        <w:rPr>
          <w:rFonts w:ascii="Times New Roman" w:hAnsi="Times New Roman" w:cs="Times New Roman"/>
        </w:rPr>
        <w:t xml:space="preserve">1) advance the national dialogue on the future of higher education in contributing to an equitable, just, and diverse democratic society, </w:t>
      </w:r>
    </w:p>
    <w:p w:rsidR="004066E3" w:rsidRPr="00834944" w:rsidRDefault="004066E3" w:rsidP="004B717C">
      <w:pPr>
        <w:rPr>
          <w:rFonts w:ascii="Times New Roman" w:hAnsi="Times New Roman" w:cs="Times New Roman"/>
        </w:rPr>
      </w:pPr>
      <w:r w:rsidRPr="00834944">
        <w:rPr>
          <w:rFonts w:ascii="Times New Roman" w:hAnsi="Times New Roman" w:cs="Times New Roman"/>
        </w:rPr>
        <w:t xml:space="preserve">2) shape both research on </w:t>
      </w:r>
      <w:r w:rsidR="00511243" w:rsidRPr="00834944">
        <w:rPr>
          <w:rFonts w:ascii="Times New Roman" w:hAnsi="Times New Roman" w:cs="Times New Roman"/>
        </w:rPr>
        <w:t xml:space="preserve">policy related to </w:t>
      </w:r>
      <w:r w:rsidRPr="00834944">
        <w:rPr>
          <w:rFonts w:ascii="Times New Roman" w:hAnsi="Times New Roman" w:cs="Times New Roman"/>
        </w:rPr>
        <w:t xml:space="preserve">full participation in higher education, and </w:t>
      </w:r>
    </w:p>
    <w:p w:rsidR="004066E3" w:rsidRPr="00834944" w:rsidRDefault="004066E3" w:rsidP="004B717C">
      <w:pPr>
        <w:rPr>
          <w:rFonts w:ascii="Times New Roman" w:hAnsi="Times New Roman" w:cs="Times New Roman"/>
        </w:rPr>
      </w:pPr>
      <w:r w:rsidRPr="00834944">
        <w:rPr>
          <w:rFonts w:ascii="Times New Roman" w:hAnsi="Times New Roman" w:cs="Times New Roman"/>
        </w:rPr>
        <w:t>3) inform the development of a research agenda to better understand f</w:t>
      </w:r>
      <w:r w:rsidR="00511243" w:rsidRPr="00834944">
        <w:rPr>
          <w:rFonts w:ascii="Times New Roman" w:hAnsi="Times New Roman" w:cs="Times New Roman"/>
        </w:rPr>
        <w:t>ull participation in</w:t>
      </w:r>
      <w:r w:rsidRPr="00834944">
        <w:rPr>
          <w:rFonts w:ascii="Times New Roman" w:hAnsi="Times New Roman" w:cs="Times New Roman"/>
        </w:rPr>
        <w:t xml:space="preserve"> higher education.</w:t>
      </w:r>
    </w:p>
    <w:p w:rsidR="00041E3A" w:rsidRPr="00834944" w:rsidRDefault="00041E3A" w:rsidP="004B717C">
      <w:pPr>
        <w:rPr>
          <w:rFonts w:ascii="Times New Roman" w:hAnsi="Times New Roman" w:cs="Times New Roman"/>
        </w:rPr>
      </w:pPr>
    </w:p>
    <w:p w:rsidR="00041E3A" w:rsidRPr="00834944" w:rsidRDefault="00041E3A" w:rsidP="004B717C">
      <w:pPr>
        <w:rPr>
          <w:rFonts w:ascii="Times New Roman" w:hAnsi="Times New Roman" w:cs="Times New Roman"/>
        </w:rPr>
      </w:pPr>
      <w:r w:rsidRPr="00834944">
        <w:rPr>
          <w:rFonts w:ascii="Times New Roman" w:hAnsi="Times New Roman" w:cs="Times New Roman"/>
        </w:rPr>
        <w:t xml:space="preserve">This project will address these goals through studies that </w:t>
      </w:r>
      <w:r w:rsidR="004066E3" w:rsidRPr="00834944">
        <w:rPr>
          <w:rFonts w:ascii="Times New Roman" w:hAnsi="Times New Roman" w:cs="Times New Roman"/>
        </w:rPr>
        <w:t xml:space="preserve">address </w:t>
      </w:r>
      <w:r w:rsidRPr="00834944">
        <w:rPr>
          <w:rFonts w:ascii="Times New Roman" w:hAnsi="Times New Roman" w:cs="Times New Roman"/>
        </w:rPr>
        <w:t>faculty member’s</w:t>
      </w:r>
    </w:p>
    <w:p w:rsidR="00041E3A" w:rsidRPr="00834944" w:rsidRDefault="004066E3" w:rsidP="004B717C">
      <w:pPr>
        <w:rPr>
          <w:rFonts w:ascii="Times New Roman" w:hAnsi="Times New Roman" w:cs="Times New Roman"/>
        </w:rPr>
      </w:pPr>
      <w:r w:rsidRPr="00834944">
        <w:rPr>
          <w:rFonts w:ascii="Times New Roman" w:hAnsi="Times New Roman" w:cs="Times New Roman"/>
        </w:rPr>
        <w:t>1) professional experience</w:t>
      </w:r>
      <w:r w:rsidR="00041E3A" w:rsidRPr="00834944">
        <w:rPr>
          <w:rFonts w:ascii="Times New Roman" w:hAnsi="Times New Roman" w:cs="Times New Roman"/>
        </w:rPr>
        <w:t>s related to full participation</w:t>
      </w:r>
      <w:r w:rsidRPr="00834944">
        <w:rPr>
          <w:rFonts w:ascii="Times New Roman" w:hAnsi="Times New Roman" w:cs="Times New Roman"/>
        </w:rPr>
        <w:t xml:space="preserve">, </w:t>
      </w:r>
    </w:p>
    <w:p w:rsidR="00041E3A" w:rsidRPr="00834944" w:rsidRDefault="004066E3" w:rsidP="004B717C">
      <w:pPr>
        <w:rPr>
          <w:rFonts w:ascii="Times New Roman" w:hAnsi="Times New Roman" w:cs="Times New Roman"/>
        </w:rPr>
      </w:pPr>
      <w:r w:rsidRPr="00834944">
        <w:rPr>
          <w:rFonts w:ascii="Times New Roman" w:hAnsi="Times New Roman" w:cs="Times New Roman"/>
        </w:rPr>
        <w:t>2) understanding of implications for change in higher education</w:t>
      </w:r>
      <w:r w:rsidR="00041E3A" w:rsidRPr="00834944">
        <w:rPr>
          <w:rFonts w:ascii="Times New Roman" w:hAnsi="Times New Roman" w:cs="Times New Roman"/>
        </w:rPr>
        <w:t xml:space="preserve"> to advance full participation</w:t>
      </w:r>
      <w:r w:rsidRPr="00834944">
        <w:rPr>
          <w:rFonts w:ascii="Times New Roman" w:hAnsi="Times New Roman" w:cs="Times New Roman"/>
        </w:rPr>
        <w:t xml:space="preserve">, and </w:t>
      </w:r>
    </w:p>
    <w:p w:rsidR="00B0187C" w:rsidRPr="00834944" w:rsidRDefault="004066E3" w:rsidP="004B717C">
      <w:pPr>
        <w:rPr>
          <w:rFonts w:ascii="Times New Roman" w:hAnsi="Times New Roman" w:cs="Times New Roman"/>
        </w:rPr>
      </w:pPr>
      <w:r w:rsidRPr="00834944">
        <w:rPr>
          <w:rFonts w:ascii="Times New Roman" w:hAnsi="Times New Roman" w:cs="Times New Roman"/>
        </w:rPr>
        <w:t>3) analysis of what a research agenda should include</w:t>
      </w:r>
      <w:r w:rsidR="00041E3A" w:rsidRPr="00834944">
        <w:rPr>
          <w:rFonts w:ascii="Times New Roman" w:hAnsi="Times New Roman" w:cs="Times New Roman"/>
        </w:rPr>
        <w:t xml:space="preserve"> and the methodologies appropriate for understanding the organizational cultures that impede full participation as well as the strategies for bringing about change in higher education</w:t>
      </w:r>
      <w:r w:rsidRPr="00834944">
        <w:rPr>
          <w:rFonts w:ascii="Times New Roman" w:hAnsi="Times New Roman" w:cs="Times New Roman"/>
        </w:rPr>
        <w:t>.</w:t>
      </w:r>
    </w:p>
    <w:p w:rsidR="00B0187C" w:rsidRPr="00834944" w:rsidRDefault="00B0187C" w:rsidP="004B717C">
      <w:pPr>
        <w:rPr>
          <w:rFonts w:ascii="Times New Roman" w:hAnsi="Times New Roman" w:cs="Times New Roman"/>
          <w:b/>
        </w:rPr>
      </w:pPr>
    </w:p>
    <w:p w:rsidR="00B0187C" w:rsidRPr="00834944" w:rsidRDefault="00B0187C" w:rsidP="004B717C">
      <w:pPr>
        <w:rPr>
          <w:rFonts w:ascii="Times New Roman" w:hAnsi="Times New Roman" w:cs="Times New Roman"/>
          <w:b/>
        </w:rPr>
      </w:pPr>
      <w:r w:rsidRPr="00834944">
        <w:rPr>
          <w:rFonts w:ascii="Times New Roman" w:hAnsi="Times New Roman" w:cs="Times New Roman"/>
          <w:b/>
        </w:rPr>
        <w:t>Project Coordination</w:t>
      </w:r>
    </w:p>
    <w:p w:rsidR="00834944" w:rsidRPr="00834944" w:rsidRDefault="00B0187C" w:rsidP="004B717C">
      <w:pPr>
        <w:rPr>
          <w:rFonts w:ascii="Times New Roman" w:hAnsi="Times New Roman" w:cs="Times New Roman"/>
        </w:rPr>
      </w:pPr>
      <w:r w:rsidRPr="00834944">
        <w:rPr>
          <w:rFonts w:ascii="Times New Roman" w:hAnsi="Times New Roman" w:cs="Times New Roman"/>
        </w:rPr>
        <w:t>The Project will be coordinated an overseen by co-PIs Timothy Eatman (Syracuse University) and John Saltmarsh (University of Massachusetts, Boston)</w:t>
      </w:r>
      <w:r w:rsidR="00772319" w:rsidRPr="00834944">
        <w:rPr>
          <w:rFonts w:ascii="Times New Roman" w:hAnsi="Times New Roman" w:cs="Times New Roman"/>
        </w:rPr>
        <w:t>, and Elaine War</w:t>
      </w:r>
      <w:r w:rsidR="00041E3A" w:rsidRPr="00834944">
        <w:rPr>
          <w:rFonts w:ascii="Times New Roman" w:hAnsi="Times New Roman" w:cs="Times New Roman"/>
        </w:rPr>
        <w:t>d</w:t>
      </w:r>
      <w:r w:rsidR="00772319" w:rsidRPr="00834944">
        <w:rPr>
          <w:rFonts w:ascii="Times New Roman" w:hAnsi="Times New Roman" w:cs="Times New Roman"/>
        </w:rPr>
        <w:t xml:space="preserve"> (Dublin Institute of Technology)</w:t>
      </w:r>
      <w:r w:rsidRPr="00834944">
        <w:rPr>
          <w:rFonts w:ascii="Times New Roman" w:hAnsi="Times New Roman" w:cs="Times New Roman"/>
        </w:rPr>
        <w:t xml:space="preserve"> with a project advisory team consisting of NERCHE visiting scholars for the Next Generation Engagement Project (see appendices). The advisory team will shape the project and will participate in it in a variety of ways, including serving as editors of a planned book project.</w:t>
      </w:r>
    </w:p>
    <w:p w:rsidR="00834944" w:rsidRPr="00834944" w:rsidRDefault="00834944" w:rsidP="004B717C">
      <w:pPr>
        <w:rPr>
          <w:rFonts w:ascii="Times New Roman" w:hAnsi="Times New Roman" w:cs="Times New Roman"/>
        </w:rPr>
      </w:pPr>
    </w:p>
    <w:p w:rsidR="00B0187C" w:rsidRPr="00834944" w:rsidRDefault="00834944" w:rsidP="004B717C">
      <w:pPr>
        <w:rPr>
          <w:rFonts w:ascii="Times New Roman" w:hAnsi="Times New Roman" w:cs="Times New Roman"/>
        </w:rPr>
      </w:pPr>
      <w:r w:rsidRPr="00834944">
        <w:rPr>
          <w:rFonts w:ascii="Times New Roman" w:hAnsi="Times New Roman" w:cs="Times New Roman"/>
        </w:rPr>
        <w:t>The New England Resource Center for Higher Education (NERCHE) at the University of Massachusetts Boston, will serve as the grant administrator for the project.</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b/>
        </w:rPr>
      </w:pPr>
      <w:r w:rsidRPr="00834944">
        <w:rPr>
          <w:rFonts w:ascii="Times New Roman" w:hAnsi="Times New Roman" w:cs="Times New Roman"/>
          <w:b/>
        </w:rPr>
        <w:t>Organizational Partners</w:t>
      </w:r>
    </w:p>
    <w:p w:rsidR="00B0187C" w:rsidRPr="00834944" w:rsidRDefault="00B0187C" w:rsidP="004B717C">
      <w:pPr>
        <w:rPr>
          <w:rFonts w:ascii="Times New Roman" w:hAnsi="Times New Roman" w:cs="Times New Roman"/>
        </w:rPr>
      </w:pPr>
      <w:r w:rsidRPr="00834944">
        <w:rPr>
          <w:rFonts w:ascii="Times New Roman" w:hAnsi="Times New Roman" w:cs="Times New Roman"/>
        </w:rPr>
        <w:t>This project will establish sharply focused collaborations with at least three national organizations: Imagining America, The American Association of State Colleges and Universities, and the Association of American Colleges and Universities. Each of these organizations will specify an existing project or program as the responsible entity for contributing to research, discussion, and dissemination. The responsible entity for Imagining America will be the office of IA's Director of Research, Dr. Timothy Eatman. Eatman directed a recent survey on early career public scholars and serves as the Co-PI for Imagining America's new research collaboratory exam</w:t>
      </w:r>
      <w:r w:rsidR="004642C4" w:rsidRPr="00834944">
        <w:rPr>
          <w:rFonts w:ascii="Times New Roman" w:hAnsi="Times New Roman" w:cs="Times New Roman"/>
        </w:rPr>
        <w:t>in</w:t>
      </w:r>
      <w:r w:rsidRPr="00834944">
        <w:rPr>
          <w:rFonts w:ascii="Times New Roman" w:hAnsi="Times New Roman" w:cs="Times New Roman"/>
        </w:rPr>
        <w:t xml:space="preserve">ing the impact of the 2008 report, </w:t>
      </w:r>
      <w:r w:rsidRPr="00834944">
        <w:rPr>
          <w:rFonts w:ascii="Times New Roman" w:hAnsi="Times New Roman" w:cs="Times New Roman"/>
          <w:i/>
        </w:rPr>
        <w:t xml:space="preserve">Scholarship in Public: Knowledge Creation and Tenure Policy in the Engaged University. </w:t>
      </w:r>
      <w:r w:rsidRPr="00834944">
        <w:rPr>
          <w:rFonts w:ascii="Times New Roman" w:hAnsi="Times New Roman" w:cs="Times New Roman"/>
        </w:rPr>
        <w:t>Julie Ellison, Co-PI of the collaboratory, will also be a contributi</w:t>
      </w:r>
      <w:bookmarkStart w:id="0" w:name="_GoBack"/>
      <w:bookmarkEnd w:id="0"/>
      <w:r w:rsidRPr="00834944">
        <w:rPr>
          <w:rFonts w:ascii="Times New Roman" w:hAnsi="Times New Roman" w:cs="Times New Roman"/>
        </w:rPr>
        <w:t>ng investigator on this project. The responsible entity for AASCU will be the American Democracy Project</w:t>
      </w:r>
      <w:r w:rsidR="00601DF6">
        <w:rPr>
          <w:rFonts w:ascii="Times New Roman" w:hAnsi="Times New Roman" w:cs="Times New Roman"/>
        </w:rPr>
        <w:t>, led by George Mehaffy and Ceci</w:t>
      </w:r>
      <w:r w:rsidRPr="00834944">
        <w:rPr>
          <w:rFonts w:ascii="Times New Roman" w:hAnsi="Times New Roman" w:cs="Times New Roman"/>
        </w:rPr>
        <w:t xml:space="preserve">lia Orphan. And the responsible entity for AACU will be </w:t>
      </w:r>
      <w:r w:rsidR="00772319" w:rsidRPr="00834944">
        <w:rPr>
          <w:rFonts w:ascii="Times New Roman" w:hAnsi="Times New Roman" w:cs="Times New Roman"/>
        </w:rPr>
        <w:t>Caryn McTighe Musil. S</w:t>
      </w:r>
      <w:r w:rsidRPr="00834944">
        <w:rPr>
          <w:rFonts w:ascii="Times New Roman" w:hAnsi="Times New Roman" w:cs="Times New Roman"/>
        </w:rPr>
        <w:t>pecific constituencies from each will be invited into participation in the project</w:t>
      </w:r>
      <w:r w:rsidR="004642C4" w:rsidRPr="00834944">
        <w:rPr>
          <w:rFonts w:ascii="Times New Roman" w:hAnsi="Times New Roman" w:cs="Times New Roman"/>
        </w:rPr>
        <w:t>,</w:t>
      </w:r>
      <w:r w:rsidRPr="00834944">
        <w:rPr>
          <w:rFonts w:ascii="Times New Roman" w:hAnsi="Times New Roman" w:cs="Times New Roman"/>
        </w:rPr>
        <w:t xml:space="preserve"> Each of these responsible entities represents strong organizational investments in years of imaginative programming. In the ca</w:t>
      </w:r>
      <w:r w:rsidR="006D4F16" w:rsidRPr="00834944">
        <w:rPr>
          <w:rFonts w:ascii="Times New Roman" w:hAnsi="Times New Roman" w:cs="Times New Roman"/>
        </w:rPr>
        <w:t>se of IA and ADP, the</w:t>
      </w:r>
      <w:r w:rsidRPr="00834944">
        <w:rPr>
          <w:rFonts w:ascii="Times New Roman" w:hAnsi="Times New Roman" w:cs="Times New Roman"/>
        </w:rPr>
        <w:t xml:space="preserve"> core mission extends to strong relationships with non-university organizations, such as schools, nonprofits, public cultural institutions (e.g., museums, libraries, heritage sites, parks); and governmental, judicial, and political institutions. </w:t>
      </w:r>
      <w:r w:rsidR="006D4F16" w:rsidRPr="00834944">
        <w:rPr>
          <w:rFonts w:ascii="Times New Roman" w:hAnsi="Times New Roman" w:cs="Times New Roman"/>
        </w:rPr>
        <w:t>This extends the scope of knowledge institutions that are vital to the educational nexus of engagement and diversity.</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b/>
        </w:rPr>
        <w:t>Project components</w:t>
      </w:r>
      <w:r w:rsidRPr="00834944">
        <w:rPr>
          <w:rFonts w:ascii="Times New Roman" w:hAnsi="Times New Roman" w:cs="Times New Roman"/>
        </w:rPr>
        <w:t>:</w:t>
      </w:r>
    </w:p>
    <w:p w:rsidR="00B0187C" w:rsidRPr="00834944" w:rsidRDefault="00B0187C" w:rsidP="004B717C">
      <w:pPr>
        <w:rPr>
          <w:rFonts w:ascii="Times New Roman" w:hAnsi="Times New Roman" w:cs="Times New Roman"/>
        </w:rPr>
      </w:pPr>
      <w:r w:rsidRPr="00834944">
        <w:rPr>
          <w:rFonts w:ascii="Times New Roman" w:hAnsi="Times New Roman" w:cs="Times New Roman"/>
        </w:rPr>
        <w:t>The project includes planning activities, writing activities, and convenings related to both. It includes a number of convenings that will allow for the deeper development of the project design and contribute to addressing the research questions. Each organization has an annual national convening that will allow for the sharing and dissemination of project findings. A culminating product from this project will be an edited book. The purpose of the book will be to 1) advance the national dialogue on the future of higher education, 2) shape both research on and the public understanding of full participation in higher education, and 3) inform decisions on further research.</w:t>
      </w:r>
    </w:p>
    <w:p w:rsidR="00B0187C" w:rsidRPr="00834944" w:rsidRDefault="00B0187C" w:rsidP="004B717C">
      <w:pPr>
        <w:rPr>
          <w:rFonts w:ascii="Times New Roman" w:hAnsi="Times New Roman" w:cs="Times New Roman"/>
          <w:u w:val="single"/>
        </w:rPr>
      </w:pPr>
    </w:p>
    <w:p w:rsidR="00B0187C" w:rsidRPr="00834944" w:rsidRDefault="00B0187C" w:rsidP="004B717C">
      <w:pPr>
        <w:rPr>
          <w:rFonts w:ascii="Times New Roman" w:hAnsi="Times New Roman" w:cs="Times New Roman"/>
          <w:u w:val="single"/>
        </w:rPr>
      </w:pPr>
      <w:r w:rsidRPr="00834944">
        <w:rPr>
          <w:rFonts w:ascii="Times New Roman" w:hAnsi="Times New Roman" w:cs="Times New Roman"/>
          <w:u w:val="single"/>
        </w:rPr>
        <w:t>Virtual Convening:</w:t>
      </w:r>
    </w:p>
    <w:p w:rsidR="00B0187C" w:rsidRPr="00834944" w:rsidRDefault="00B0187C" w:rsidP="004B717C">
      <w:pPr>
        <w:rPr>
          <w:rFonts w:ascii="Times New Roman" w:hAnsi="Times New Roman" w:cs="Times New Roman"/>
        </w:rPr>
      </w:pPr>
      <w:r w:rsidRPr="00834944">
        <w:rPr>
          <w:rFonts w:ascii="Times New Roman" w:hAnsi="Times New Roman" w:cs="Times New Roman"/>
        </w:rPr>
        <w:t>The project will have an interactive web presence that will allow for continual building of the project in collaboration with a wide range of scholars nationally and internationally. The web portal will include sharing documents related to the project, capturing input from readers, and co-authoring a blog that will engage project participants in ongoing dialogue. (A model for this web-based interface can be found at http://futureofengagement.wordpress.com/).</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u w:val="single"/>
        </w:rPr>
        <w:t>Face-to-Face Convening #1</w:t>
      </w:r>
      <w:r w:rsidRPr="00834944">
        <w:rPr>
          <w:rFonts w:ascii="Times New Roman" w:hAnsi="Times New Roman" w:cs="Times New Roman"/>
        </w:rPr>
        <w:t>:</w:t>
      </w:r>
    </w:p>
    <w:p w:rsidR="00B0187C" w:rsidRPr="00834944" w:rsidRDefault="00B0187C" w:rsidP="004B717C">
      <w:pPr>
        <w:rPr>
          <w:rFonts w:ascii="Times New Roman" w:hAnsi="Times New Roman" w:cs="Times New Roman"/>
        </w:rPr>
      </w:pPr>
      <w:r w:rsidRPr="00834944">
        <w:rPr>
          <w:rFonts w:ascii="Times New Roman" w:hAnsi="Times New Roman" w:cs="Times New Roman"/>
        </w:rPr>
        <w:t>This convening will bring together between 20 and 25 individuals who in equal numbers are 1) senior faculty and administrators representative of racial, ethnic, and gender diversity and, 2) early career faculty representative of racial, ethnic, and gender diversity. Participants will also be selected to represent a wide range of disciplines and institutional types.</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The focus of the meeting will be on refining the problem statement and research questions with two goals in mind: first, creating a study that reveals the professional and organizational dimensions of faculty diversity and second, assessing the implications for student success of these initial findings. Based on this analysis, we aim to develop a multi-year research agenda that will lead to a greater understanding of  how changes in institutional practice and policy can contribute to fuller participation in higher education.  </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Participants may be asked to contribute chapters for a book on full participation in higher education in which their individual chapters address </w:t>
      </w:r>
      <w:r w:rsidR="004066E3" w:rsidRPr="00834944">
        <w:rPr>
          <w:rFonts w:ascii="Times New Roman" w:hAnsi="Times New Roman" w:cs="Times New Roman"/>
        </w:rPr>
        <w:t xml:space="preserve">1) </w:t>
      </w:r>
      <w:r w:rsidRPr="00834944">
        <w:rPr>
          <w:rFonts w:ascii="Times New Roman" w:hAnsi="Times New Roman" w:cs="Times New Roman"/>
        </w:rPr>
        <w:t xml:space="preserve">their professional experience, </w:t>
      </w:r>
      <w:r w:rsidR="004066E3" w:rsidRPr="00834944">
        <w:rPr>
          <w:rFonts w:ascii="Times New Roman" w:hAnsi="Times New Roman" w:cs="Times New Roman"/>
        </w:rPr>
        <w:t xml:space="preserve">2) </w:t>
      </w:r>
      <w:r w:rsidRPr="00834944">
        <w:rPr>
          <w:rFonts w:ascii="Times New Roman" w:hAnsi="Times New Roman" w:cs="Times New Roman"/>
        </w:rPr>
        <w:t xml:space="preserve">their understanding of implications for change in higher education, and </w:t>
      </w:r>
      <w:r w:rsidR="004066E3" w:rsidRPr="00834944">
        <w:rPr>
          <w:rFonts w:ascii="Times New Roman" w:hAnsi="Times New Roman" w:cs="Times New Roman"/>
        </w:rPr>
        <w:t xml:space="preserve">3) </w:t>
      </w:r>
      <w:r w:rsidRPr="00834944">
        <w:rPr>
          <w:rFonts w:ascii="Times New Roman" w:hAnsi="Times New Roman" w:cs="Times New Roman"/>
        </w:rPr>
        <w:t>their analysis of what a research agenda should include.</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r w:rsidRPr="00834944">
        <w:rPr>
          <w:rFonts w:ascii="Times New Roman" w:hAnsi="Times New Roman" w:cs="Times New Roman"/>
          <w:u w:val="single"/>
        </w:rPr>
        <w:t>Convening #2</w:t>
      </w:r>
      <w:r w:rsidRPr="00834944">
        <w:rPr>
          <w:rFonts w:ascii="Times New Roman" w:hAnsi="Times New Roman" w:cs="Times New Roman"/>
        </w:rPr>
        <w:t>:</w:t>
      </w:r>
    </w:p>
    <w:p w:rsidR="00B0187C" w:rsidRPr="00834944" w:rsidRDefault="00B0187C" w:rsidP="004B717C">
      <w:pPr>
        <w:rPr>
          <w:rFonts w:ascii="Times New Roman" w:hAnsi="Times New Roman" w:cs="Times New Roman"/>
        </w:rPr>
      </w:pPr>
      <w:r w:rsidRPr="00834944">
        <w:rPr>
          <w:rFonts w:ascii="Times New Roman" w:hAnsi="Times New Roman" w:cs="Times New Roman"/>
        </w:rPr>
        <w:t>Contributing Authors Meeting: This will be an opportunity for the authors to share their draft chapters and receive feedback for revisions.</w:t>
      </w:r>
    </w:p>
    <w:p w:rsidR="00B0187C" w:rsidRPr="00834944" w:rsidRDefault="00B0187C" w:rsidP="004B717C">
      <w:pPr>
        <w:rPr>
          <w:rFonts w:ascii="Times New Roman" w:hAnsi="Times New Roman" w:cs="Times New Roman"/>
        </w:rPr>
      </w:pPr>
    </w:p>
    <w:p w:rsidR="006D4F16" w:rsidRPr="00834944" w:rsidRDefault="00B0187C" w:rsidP="004B717C">
      <w:pPr>
        <w:rPr>
          <w:rFonts w:ascii="Times New Roman" w:hAnsi="Times New Roman" w:cs="Times New Roman"/>
        </w:rPr>
      </w:pPr>
      <w:r w:rsidRPr="00834944">
        <w:rPr>
          <w:rFonts w:ascii="Times New Roman" w:hAnsi="Times New Roman" w:cs="Times New Roman"/>
          <w:u w:val="single"/>
        </w:rPr>
        <w:t>Convening #3</w:t>
      </w:r>
      <w:r w:rsidRPr="00834944">
        <w:rPr>
          <w:rFonts w:ascii="Times New Roman" w:hAnsi="Times New Roman" w:cs="Times New Roman"/>
        </w:rPr>
        <w:t>:</w:t>
      </w:r>
    </w:p>
    <w:p w:rsidR="00B0187C" w:rsidRPr="00834944" w:rsidRDefault="00B0187C" w:rsidP="004B717C">
      <w:pPr>
        <w:rPr>
          <w:rFonts w:ascii="Times New Roman" w:hAnsi="Times New Roman" w:cs="Times New Roman"/>
        </w:rPr>
      </w:pPr>
      <w:r w:rsidRPr="00834944">
        <w:rPr>
          <w:rFonts w:ascii="Times New Roman" w:hAnsi="Times New Roman" w:cs="Times New Roman"/>
        </w:rPr>
        <w:t>The authors come together to offer a pre-conference session at the Annual Conference of the International Association for Research on Service Learning and Community Engagement to discuss the project findings with a focus on the emergent research agenda.  Linking public engagement and diversity will be central to future research. The relationship between engagement and diversity is both a conceptual and a practical necessity in the movement toward full participation in higher education.</w:t>
      </w: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u w:val="single"/>
        </w:rPr>
      </w:pPr>
    </w:p>
    <w:p w:rsidR="00B0187C" w:rsidRPr="00834944" w:rsidRDefault="00B0187C" w:rsidP="004B717C">
      <w:pPr>
        <w:rPr>
          <w:rFonts w:ascii="Times New Roman" w:hAnsi="Times New Roman" w:cs="Times New Roman"/>
          <w:u w:val="single"/>
        </w:rPr>
      </w:pPr>
      <w:r w:rsidRPr="00834944">
        <w:rPr>
          <w:rFonts w:ascii="Times New Roman" w:hAnsi="Times New Roman" w:cs="Times New Roman"/>
          <w:u w:val="single"/>
        </w:rPr>
        <w:t>Timeline</w:t>
      </w:r>
    </w:p>
    <w:p w:rsidR="00B0187C" w:rsidRPr="00834944" w:rsidRDefault="00B0187C" w:rsidP="004B717C">
      <w:pPr>
        <w:rPr>
          <w:rFonts w:ascii="Times New Roman" w:hAnsi="Times New Roman" w:cs="Times New Roman"/>
        </w:rPr>
      </w:pPr>
    </w:p>
    <w:tbl>
      <w:tblPr>
        <w:tblStyle w:val="TableGrid"/>
        <w:tblW w:w="0" w:type="auto"/>
        <w:tblLook w:val="04A0" w:firstRow="1" w:lastRow="0" w:firstColumn="1" w:lastColumn="0" w:noHBand="0" w:noVBand="1"/>
      </w:tblPr>
      <w:tblGrid>
        <w:gridCol w:w="2583"/>
        <w:gridCol w:w="2762"/>
        <w:gridCol w:w="2791"/>
      </w:tblGrid>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Date</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Activity</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Product</w:t>
            </w:r>
          </w:p>
        </w:tc>
      </w:tr>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May-Aug. 2011</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Project Leadership Team established – meets by teleconferencing</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Begin planning of project activities and establish work plan</w:t>
            </w:r>
          </w:p>
        </w:tc>
      </w:tr>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September 2011</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Web-Based interface created</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Invite wide collaboration in exploring and examining the dimensions of and implications of full participation</w:t>
            </w:r>
          </w:p>
        </w:tc>
      </w:tr>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November 2011</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Face-to-Face Convening </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Deepen conceptualization of the project and shape the written product(s) of the project</w:t>
            </w:r>
          </w:p>
        </w:tc>
      </w:tr>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March 1, 2012</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Chapter Drafts due to editors</w:t>
            </w:r>
          </w:p>
        </w:tc>
        <w:tc>
          <w:tcPr>
            <w:tcW w:w="3192" w:type="dxa"/>
          </w:tcPr>
          <w:p w:rsidR="00B0187C" w:rsidRPr="00834944" w:rsidRDefault="00B0187C" w:rsidP="004B717C">
            <w:pPr>
              <w:rPr>
                <w:rFonts w:ascii="Times New Roman" w:hAnsi="Times New Roman" w:cs="Times New Roman"/>
              </w:rPr>
            </w:pPr>
          </w:p>
        </w:tc>
      </w:tr>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May 1, 2012</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Editor’s feedback to authors</w:t>
            </w:r>
          </w:p>
        </w:tc>
        <w:tc>
          <w:tcPr>
            <w:tcW w:w="3192" w:type="dxa"/>
          </w:tcPr>
          <w:p w:rsidR="00B0187C" w:rsidRPr="00834944" w:rsidRDefault="00B0187C" w:rsidP="004B717C">
            <w:pPr>
              <w:rPr>
                <w:rFonts w:ascii="Times New Roman" w:hAnsi="Times New Roman" w:cs="Times New Roman"/>
              </w:rPr>
            </w:pPr>
          </w:p>
        </w:tc>
      </w:tr>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June 2012</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Author’s Meeting</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Critiquing and revising chapter drafts</w:t>
            </w:r>
          </w:p>
        </w:tc>
      </w:tr>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October 2012</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Session at the Annual Conference of the International Association for Research on Service Learning and Community Engagement</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Disseminating findings and developing a research agenda</w:t>
            </w:r>
          </w:p>
        </w:tc>
      </w:tr>
      <w:tr w:rsidR="00B0187C" w:rsidRPr="00834944">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Nov.-Dec. 2012</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Work with publisher to complete book </w:t>
            </w:r>
          </w:p>
        </w:tc>
        <w:tc>
          <w:tcPr>
            <w:tcW w:w="3192"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Edited volume</w:t>
            </w:r>
          </w:p>
        </w:tc>
      </w:tr>
    </w:tbl>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u w:val="single"/>
        </w:rPr>
      </w:pPr>
      <w:r w:rsidRPr="00834944">
        <w:rPr>
          <w:rFonts w:ascii="Times New Roman" w:hAnsi="Times New Roman" w:cs="Times New Roman"/>
          <w:u w:val="single"/>
        </w:rPr>
        <w:t>Proposed Budget:</w:t>
      </w:r>
      <w:r w:rsidRPr="00834944">
        <w:rPr>
          <w:rFonts w:ascii="Times New Roman" w:hAnsi="Times New Roman" w:cs="Times New Roman"/>
        </w:rPr>
        <w:t xml:space="preserve"> Grant Period from May 2011 through January 2012  (18 months)</w:t>
      </w:r>
    </w:p>
    <w:p w:rsidR="00B0187C" w:rsidRPr="00834944" w:rsidRDefault="00B0187C" w:rsidP="004B717C">
      <w:pPr>
        <w:rPr>
          <w:rFonts w:ascii="Times New Roman" w:hAnsi="Times New Roman" w:cs="Times New Roman"/>
        </w:rPr>
      </w:pPr>
    </w:p>
    <w:tbl>
      <w:tblPr>
        <w:tblStyle w:val="TableGrid"/>
        <w:tblW w:w="0" w:type="auto"/>
        <w:tblLook w:val="04A0" w:firstRow="1" w:lastRow="0" w:firstColumn="1" w:lastColumn="0" w:noHBand="0" w:noVBand="1"/>
      </w:tblPr>
      <w:tblGrid>
        <w:gridCol w:w="4788"/>
        <w:gridCol w:w="1596"/>
      </w:tblGrid>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Activity</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Costs</w:t>
            </w:r>
          </w:p>
        </w:tc>
      </w:tr>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Teleconferencing</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$750</w:t>
            </w:r>
          </w:p>
        </w:tc>
      </w:tr>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Web-Based interface </w:t>
            </w:r>
          </w:p>
          <w:p w:rsidR="00B0187C" w:rsidRPr="00834944" w:rsidRDefault="00B0187C" w:rsidP="004B717C">
            <w:pPr>
              <w:rPr>
                <w:rFonts w:ascii="Times New Roman" w:hAnsi="Times New Roman" w:cs="Times New Roman"/>
              </w:rPr>
            </w:pPr>
            <w:r w:rsidRPr="00834944">
              <w:rPr>
                <w:rFonts w:ascii="Times New Roman" w:hAnsi="Times New Roman" w:cs="Times New Roman"/>
              </w:rPr>
              <w:t>Staff</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$2000</w:t>
            </w:r>
          </w:p>
        </w:tc>
      </w:tr>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Face-to-Face Convening </w:t>
            </w:r>
          </w:p>
          <w:p w:rsidR="00B0187C" w:rsidRPr="00834944" w:rsidRDefault="00B0187C" w:rsidP="004B717C">
            <w:pPr>
              <w:rPr>
                <w:rFonts w:ascii="Times New Roman" w:hAnsi="Times New Roman" w:cs="Times New Roman"/>
              </w:rPr>
            </w:pPr>
            <w:r w:rsidRPr="00834944">
              <w:rPr>
                <w:rFonts w:ascii="Times New Roman" w:hAnsi="Times New Roman" w:cs="Times New Roman"/>
              </w:rPr>
              <w:t>2 days</w:t>
            </w:r>
          </w:p>
          <w:p w:rsidR="00B0187C" w:rsidRPr="00834944" w:rsidRDefault="00B0187C" w:rsidP="004B717C">
            <w:pPr>
              <w:rPr>
                <w:rFonts w:ascii="Times New Roman" w:hAnsi="Times New Roman" w:cs="Times New Roman"/>
              </w:rPr>
            </w:pPr>
            <w:r w:rsidRPr="00834944">
              <w:rPr>
                <w:rFonts w:ascii="Times New Roman" w:hAnsi="Times New Roman" w:cs="Times New Roman"/>
              </w:rPr>
              <w:t>@ $1,750 X 25= 43,750</w:t>
            </w:r>
          </w:p>
          <w:p w:rsidR="00B0187C" w:rsidRPr="00834944" w:rsidRDefault="00B0187C" w:rsidP="004B717C">
            <w:pPr>
              <w:rPr>
                <w:rFonts w:ascii="Times New Roman" w:hAnsi="Times New Roman" w:cs="Times New Roman"/>
              </w:rPr>
            </w:pPr>
            <w:r w:rsidRPr="00834944">
              <w:rPr>
                <w:rFonts w:ascii="Times New Roman" w:hAnsi="Times New Roman" w:cs="Times New Roman"/>
              </w:rPr>
              <w:t>Facilities</w:t>
            </w:r>
          </w:p>
          <w:p w:rsidR="00B0187C" w:rsidRPr="00834944" w:rsidRDefault="00B0187C" w:rsidP="004B717C">
            <w:pPr>
              <w:rPr>
                <w:rFonts w:ascii="Times New Roman" w:hAnsi="Times New Roman" w:cs="Times New Roman"/>
              </w:rPr>
            </w:pPr>
            <w:r w:rsidRPr="00834944">
              <w:rPr>
                <w:rFonts w:ascii="Times New Roman" w:hAnsi="Times New Roman" w:cs="Times New Roman"/>
              </w:rPr>
              <w:t>Food</w:t>
            </w:r>
          </w:p>
          <w:p w:rsidR="00B0187C" w:rsidRPr="00834944" w:rsidRDefault="00B0187C" w:rsidP="004B717C">
            <w:pPr>
              <w:rPr>
                <w:rFonts w:ascii="Times New Roman" w:hAnsi="Times New Roman" w:cs="Times New Roman"/>
              </w:rPr>
            </w:pPr>
            <w:r w:rsidRPr="00834944">
              <w:rPr>
                <w:rFonts w:ascii="Times New Roman" w:hAnsi="Times New Roman" w:cs="Times New Roman"/>
              </w:rPr>
              <w:t>Accommodations</w:t>
            </w:r>
          </w:p>
          <w:p w:rsidR="00B0187C" w:rsidRPr="00834944" w:rsidRDefault="00B0187C" w:rsidP="004B717C">
            <w:pPr>
              <w:rPr>
                <w:rFonts w:ascii="Times New Roman" w:hAnsi="Times New Roman" w:cs="Times New Roman"/>
              </w:rPr>
            </w:pPr>
            <w:r w:rsidRPr="00834944">
              <w:rPr>
                <w:rFonts w:ascii="Times New Roman" w:hAnsi="Times New Roman" w:cs="Times New Roman"/>
              </w:rPr>
              <w:t>Travel</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$43750</w:t>
            </w:r>
          </w:p>
        </w:tc>
      </w:tr>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Author’s Meeting</w:t>
            </w:r>
          </w:p>
          <w:p w:rsidR="00B0187C" w:rsidRPr="00834944" w:rsidRDefault="00B0187C" w:rsidP="004B717C">
            <w:pPr>
              <w:rPr>
                <w:rFonts w:ascii="Times New Roman" w:hAnsi="Times New Roman" w:cs="Times New Roman"/>
              </w:rPr>
            </w:pPr>
            <w:r w:rsidRPr="00834944">
              <w:rPr>
                <w:rFonts w:ascii="Times New Roman" w:hAnsi="Times New Roman" w:cs="Times New Roman"/>
              </w:rPr>
              <w:t>One day/one overnight</w:t>
            </w:r>
          </w:p>
          <w:p w:rsidR="00B0187C" w:rsidRPr="00834944" w:rsidRDefault="00B0187C" w:rsidP="004B717C">
            <w:pPr>
              <w:rPr>
                <w:rFonts w:ascii="Times New Roman" w:hAnsi="Times New Roman" w:cs="Times New Roman"/>
              </w:rPr>
            </w:pPr>
            <w:r w:rsidRPr="00834944">
              <w:rPr>
                <w:rFonts w:ascii="Times New Roman" w:hAnsi="Times New Roman" w:cs="Times New Roman"/>
              </w:rPr>
              <w:t>@ 15 X $1,000</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$15,000</w:t>
            </w:r>
          </w:p>
        </w:tc>
      </w:tr>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Stipends to authors</w:t>
            </w:r>
          </w:p>
          <w:p w:rsidR="00B0187C" w:rsidRPr="00834944" w:rsidRDefault="00B0187C" w:rsidP="004B717C">
            <w:pPr>
              <w:rPr>
                <w:rFonts w:ascii="Times New Roman" w:hAnsi="Times New Roman" w:cs="Times New Roman"/>
              </w:rPr>
            </w:pPr>
            <w:r w:rsidRPr="00834944">
              <w:rPr>
                <w:rFonts w:ascii="Times New Roman" w:hAnsi="Times New Roman" w:cs="Times New Roman"/>
              </w:rPr>
              <w:t>@ 15 X $800</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$12,000</w:t>
            </w:r>
          </w:p>
        </w:tc>
      </w:tr>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Session at the Annual Conference of the International Association for Research on Service Learning and Community Engagement</w:t>
            </w:r>
          </w:p>
          <w:p w:rsidR="00B0187C" w:rsidRPr="00834944" w:rsidRDefault="00B0187C" w:rsidP="004B717C">
            <w:pPr>
              <w:rPr>
                <w:rFonts w:ascii="Times New Roman" w:hAnsi="Times New Roman" w:cs="Times New Roman"/>
              </w:rPr>
            </w:pPr>
            <w:r w:rsidRPr="00834944">
              <w:rPr>
                <w:rFonts w:ascii="Times New Roman" w:hAnsi="Times New Roman" w:cs="Times New Roman"/>
              </w:rPr>
              <w:t>Travel, accommodations, registration for 6 @ $1,200 per person</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$7,200</w:t>
            </w:r>
          </w:p>
        </w:tc>
      </w:tr>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Grant administration</w:t>
            </w:r>
          </w:p>
          <w:p w:rsidR="00B0187C" w:rsidRPr="00834944" w:rsidRDefault="00B0187C" w:rsidP="004B717C">
            <w:pPr>
              <w:rPr>
                <w:rFonts w:ascii="Times New Roman" w:hAnsi="Times New Roman" w:cs="Times New Roman"/>
              </w:rPr>
            </w:pPr>
            <w:r w:rsidRPr="00834944">
              <w:rPr>
                <w:rFonts w:ascii="Times New Roman" w:hAnsi="Times New Roman" w:cs="Times New Roman"/>
              </w:rPr>
              <w:t>NERCHE staff</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$8000</w:t>
            </w:r>
          </w:p>
        </w:tc>
      </w:tr>
      <w:tr w:rsidR="00B0187C" w:rsidRPr="00834944">
        <w:tc>
          <w:tcPr>
            <w:tcW w:w="4788"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Total</w:t>
            </w:r>
          </w:p>
        </w:tc>
        <w:tc>
          <w:tcPr>
            <w:tcW w:w="1596" w:type="dxa"/>
          </w:tcPr>
          <w:p w:rsidR="00B0187C" w:rsidRPr="00834944" w:rsidRDefault="00B0187C" w:rsidP="004B717C">
            <w:pPr>
              <w:rPr>
                <w:rFonts w:ascii="Times New Roman" w:hAnsi="Times New Roman" w:cs="Times New Roman"/>
              </w:rPr>
            </w:pPr>
            <w:r w:rsidRPr="00834944">
              <w:rPr>
                <w:rFonts w:ascii="Times New Roman" w:hAnsi="Times New Roman" w:cs="Times New Roman"/>
              </w:rPr>
              <w:t>$88,700</w:t>
            </w:r>
          </w:p>
        </w:tc>
      </w:tr>
    </w:tbl>
    <w:p w:rsidR="00B0187C" w:rsidRPr="00834944" w:rsidRDefault="00B0187C" w:rsidP="004B717C">
      <w:pPr>
        <w:rPr>
          <w:rFonts w:ascii="Times New Roman" w:hAnsi="Times New Roman" w:cs="Times New Roman"/>
        </w:rPr>
      </w:pPr>
    </w:p>
    <w:p w:rsidR="00B0187C" w:rsidRPr="00834944" w:rsidRDefault="00B0187C" w:rsidP="004B717C">
      <w:pPr>
        <w:rPr>
          <w:rFonts w:ascii="Times New Roman" w:hAnsi="Times New Roman" w:cs="Times New Roman"/>
          <w:u w:val="single"/>
        </w:rPr>
      </w:pPr>
      <w:r w:rsidRPr="00834944">
        <w:rPr>
          <w:rFonts w:ascii="Times New Roman" w:hAnsi="Times New Roman" w:cs="Times New Roman"/>
          <w:u w:val="single"/>
        </w:rPr>
        <w:t>Project PIs:</w:t>
      </w:r>
    </w:p>
    <w:p w:rsidR="00B0187C" w:rsidRPr="00834944" w:rsidRDefault="00B0187C" w:rsidP="004B717C">
      <w:pPr>
        <w:rPr>
          <w:rFonts w:ascii="Times New Roman" w:eastAsia="Times New Roman" w:hAnsi="Times New Roman" w:cs="Times New Roman"/>
        </w:rPr>
      </w:pPr>
      <w:r w:rsidRPr="00834944">
        <w:rPr>
          <w:rStyle w:val="Strong"/>
          <w:rFonts w:ascii="Times New Roman" w:eastAsia="Times New Roman" w:hAnsi="Times New Roman" w:cs="Times New Roman"/>
        </w:rPr>
        <w:t xml:space="preserve">Dr. Timothy Eatman </w:t>
      </w:r>
      <w:r w:rsidRPr="00834944">
        <w:rPr>
          <w:rFonts w:ascii="Times New Roman" w:eastAsia="Times New Roman" w:hAnsi="Times New Roman" w:cs="Times New Roman"/>
        </w:rPr>
        <w:t xml:space="preserve">is Assistant Professor of Higher Education at Syracuse University and Director for Research of Imagining America (IA). Tim provides research leadership for the Tenure Team Initiative on Public Scholarship and is co-author </w:t>
      </w:r>
      <w:r w:rsidRPr="00834944">
        <w:rPr>
          <w:rStyle w:val="Emphasis"/>
          <w:rFonts w:ascii="Times New Roman" w:eastAsia="Times New Roman" w:hAnsi="Times New Roman" w:cs="Times New Roman"/>
        </w:rPr>
        <w:t>of Scholarship in Public, Knowledge Creation and Tenure Policy in the Engaged University</w:t>
      </w:r>
      <w:r w:rsidRPr="00834944">
        <w:rPr>
          <w:rFonts w:ascii="Times New Roman" w:eastAsia="Times New Roman" w:hAnsi="Times New Roman" w:cs="Times New Roman"/>
        </w:rPr>
        <w:t>. This work on faculty rewards for publicly engaged scholarship extends to a recently established study of IA's Publicly Active Graduate Education (PAGE) program, which examines the aspirations, and decisions of engaged artists and scholars in the cultural disciplines. He earned degrees in Education (B.S.-Pace University, NY and M.Ed.-Howard University, D.C.) and the Ph.D. in Educational Policy from the University of Illinois at Urbana-Champaign. Professor Eatman also pursues research on the pipeline to graduate school and the professoriate for students from traditionally underrepresented groups in higher education. This strand of his research examines the relationships among institutional policies, programs, and college student development. He has recently begun research with funding from the National Science Foundation that explored the transition from the military to higher education for veterans in engineering fields within the context of the Post 9/11 GI Bill. Eatman has published in venues including the Journal of Educational Finance, Readings on Equal Education, Diversity and Democracy, other book chapters and reports.</w:t>
      </w:r>
    </w:p>
    <w:p w:rsidR="00B0187C" w:rsidRPr="00834944" w:rsidRDefault="00B0187C" w:rsidP="004B717C">
      <w:pPr>
        <w:rPr>
          <w:rFonts w:ascii="Times New Roman" w:eastAsia="Times New Roman" w:hAnsi="Times New Roman" w:cs="Times New Roman"/>
        </w:rPr>
      </w:pPr>
    </w:p>
    <w:p w:rsidR="0048342C" w:rsidRPr="00834944" w:rsidRDefault="00B0187C" w:rsidP="004B717C">
      <w:pPr>
        <w:rPr>
          <w:rFonts w:ascii="Times New Roman" w:hAnsi="Times New Roman"/>
          <w:color w:val="000000"/>
        </w:rPr>
      </w:pPr>
      <w:r w:rsidRPr="00834944">
        <w:rPr>
          <w:rFonts w:ascii="Times New Roman" w:hAnsi="Times New Roman"/>
          <w:b/>
          <w:color w:val="000000"/>
        </w:rPr>
        <w:t>Dr. John Saltmarsh</w:t>
      </w:r>
      <w:r w:rsidRPr="00834944">
        <w:rPr>
          <w:rFonts w:ascii="Times New Roman" w:hAnsi="Times New Roman"/>
          <w:color w:val="000000"/>
        </w:rPr>
        <w:t xml:space="preserve"> is the Director of the New England Resource Center for Higher Education (NERCHE) at the University of Massachusetts, Boston as well as a faculty member in the Higher Education Administration Doctorial Program in the Department of Leadership in Education in the College of Education and Human Development. He is the author, with Edward Zlotkowski, of </w:t>
      </w:r>
      <w:r w:rsidRPr="00834944">
        <w:rPr>
          <w:rFonts w:ascii="Times New Roman" w:hAnsi="Times New Roman"/>
          <w:i/>
          <w:color w:val="000000"/>
        </w:rPr>
        <w:t>Higher Education and Democracy: Essays on Service-Learning and Civic Engagement</w:t>
      </w:r>
      <w:r w:rsidRPr="00834944">
        <w:rPr>
          <w:rFonts w:ascii="Times New Roman" w:hAnsi="Times New Roman"/>
          <w:color w:val="000000"/>
        </w:rPr>
        <w:t xml:space="preserve"> (Temple 2011). He is also the author of numerous book chapters and articles on civic engagement, service-learning, and experiential education, and the co-author of the </w:t>
      </w:r>
      <w:r w:rsidRPr="00834944">
        <w:rPr>
          <w:rFonts w:ascii="Times New Roman" w:hAnsi="Times New Roman"/>
          <w:i/>
          <w:color w:val="000000"/>
        </w:rPr>
        <w:t>Democratic Engagement White Paper</w:t>
      </w:r>
      <w:r w:rsidRPr="00834944">
        <w:rPr>
          <w:rFonts w:ascii="Times New Roman" w:hAnsi="Times New Roman"/>
          <w:color w:val="000000"/>
        </w:rPr>
        <w:t xml:space="preserve"> (NERCHE, 2009) as well as co-editor of the forthcoming  book </w:t>
      </w:r>
      <w:r w:rsidRPr="00834944">
        <w:rPr>
          <w:rFonts w:ascii="Times New Roman" w:hAnsi="Times New Roman"/>
          <w:i/>
        </w:rPr>
        <w:t>“To Serve a Larger Purpose:” Engagement for Democracy and the Transformation of Higher Education (2011).</w:t>
      </w:r>
      <w:r w:rsidRPr="00834944">
        <w:rPr>
          <w:rFonts w:ascii="Times New Roman" w:hAnsi="Times New Roman"/>
          <w:color w:val="000000"/>
        </w:rPr>
        <w:t xml:space="preserve"> He serves as past chair and current member of the board of the International Association for Research on Service Learning and Community Engagement (IARSLCE), as a member of the Board of The Democracy Imperative, as well as on the editorial board of the </w:t>
      </w:r>
      <w:r w:rsidRPr="00834944">
        <w:rPr>
          <w:rFonts w:ascii="Times New Roman" w:hAnsi="Times New Roman"/>
          <w:i/>
          <w:color w:val="000000"/>
        </w:rPr>
        <w:t>Michigan Journal of Community Service-Learning</w:t>
      </w:r>
      <w:r w:rsidRPr="00834944">
        <w:rPr>
          <w:rFonts w:ascii="Times New Roman" w:hAnsi="Times New Roman"/>
          <w:color w:val="000000"/>
        </w:rPr>
        <w:t xml:space="preserve">, the editorial board of the </w:t>
      </w:r>
      <w:r w:rsidRPr="00834944">
        <w:rPr>
          <w:rFonts w:ascii="Times New Roman" w:hAnsi="Times New Roman"/>
          <w:i/>
          <w:color w:val="000000"/>
        </w:rPr>
        <w:t>Journal of Higher Education Outreach and Engagement</w:t>
      </w:r>
      <w:r w:rsidRPr="00834944">
        <w:rPr>
          <w:rFonts w:ascii="Times New Roman" w:hAnsi="Times New Roman"/>
          <w:color w:val="000000"/>
        </w:rPr>
        <w:t>, and on the board of the Association of American Colleges and Universities (AACU) Core Commitments Project. He is a member of the National Review Board for the Scholarship of Engagement, has served as a National Scholar with Imagining America’s Tenure Team Initiative, and as a member of the Advisory Committee for the Carnegie Foundation’s Community Engagement Classification. From 1998 through 2005, he directed the national Project on Integrating Service with Academic Study at Campus Compact. He holds a Ph.D. in American History from Boston University and taught for over a decade at Northeastern University and as a Visiting Research Fellow at the Feinstein Institute for Public Service at Providence College.</w:t>
      </w:r>
    </w:p>
    <w:p w:rsidR="0048342C" w:rsidRPr="00834944" w:rsidRDefault="0048342C" w:rsidP="004B717C">
      <w:pPr>
        <w:rPr>
          <w:rFonts w:ascii="Times New Roman" w:hAnsi="Times New Roman"/>
          <w:color w:val="000000"/>
        </w:rPr>
      </w:pPr>
    </w:p>
    <w:p w:rsidR="0048342C" w:rsidRPr="00834944" w:rsidRDefault="0048342C" w:rsidP="004B717C">
      <w:pPr>
        <w:rPr>
          <w:rFonts w:ascii="Times New Roman" w:hAnsi="Times New Roman" w:cs="Times New Roman"/>
        </w:rPr>
      </w:pPr>
      <w:r w:rsidRPr="00834944">
        <w:rPr>
          <w:rFonts w:ascii="Times New Roman" w:hAnsi="Times New Roman" w:cs="Times New Roman"/>
          <w:b/>
        </w:rPr>
        <w:t>Dr. Elaine Ward</w:t>
      </w:r>
    </w:p>
    <w:p w:rsidR="0048342C" w:rsidRPr="00834944" w:rsidRDefault="0048342C" w:rsidP="004B717C">
      <w:pPr>
        <w:rPr>
          <w:rFonts w:ascii="Times New Roman" w:hAnsi="Times New Roman" w:cs="Times New Roman"/>
        </w:rPr>
      </w:pPr>
      <w:r w:rsidRPr="00834944">
        <w:rPr>
          <w:rFonts w:ascii="Times New Roman" w:hAnsi="Times New Roman" w:cs="Times New Roman"/>
        </w:rPr>
        <w:t xml:space="preserve">Dr. Ward currently holds the Arnold F. Graves Postdoctoral Research Fellowship at Dublin Institute of Technology’s Center for Social and Educational Research in the Higher Education Policy Research Unit.  Elaine is researching the value of Arts and Humanities Research for HEPRU as part of a collaborative project with the Center for Higher Education Policy Studies (CHEPS) at the University of Twente in the Netherlands and with the Norwegian Institute for Studies in Innovation, Research and Education (NIFUSTEP) in Norway. </w:t>
      </w:r>
      <w:r w:rsidR="00620C58" w:rsidRPr="00834944">
        <w:rPr>
          <w:rFonts w:ascii="Times New Roman" w:hAnsi="Times New Roman" w:cs="Times New Roman"/>
        </w:rPr>
        <w:t xml:space="preserve">Her dissertation,  entitled </w:t>
      </w:r>
      <w:r w:rsidR="00620C58" w:rsidRPr="00834944">
        <w:rPr>
          <w:rFonts w:ascii="Times New Roman" w:hAnsi="Times New Roman" w:cs="Times New Roman"/>
          <w:i/>
        </w:rPr>
        <w:t>Women’s Ways of Engagement:  An Exploration of Gender, the Scholarship of Engagement, and Institutional Reward Policy and Practice</w:t>
      </w:r>
      <w:r w:rsidR="00620C58" w:rsidRPr="00834944">
        <w:rPr>
          <w:rFonts w:ascii="Times New Roman" w:hAnsi="Times New Roman" w:cs="Times New Roman"/>
        </w:rPr>
        <w:t xml:space="preserve"> has been nominated for numerous awards and is the winner of the New England Educational Research Organization’s Schmidt Award for Outstanding Dissertation Research 2009 and the International Association of Research on Service-Learning and Community Engagement’s dissertation of the year award 2010. Dr. Ward is a Visiting Fellow at the New England Resource Center for Higher Education (NERCHE), in Massachusetts and is active in a number of international research teams. She is a core member of a US-based research team that studies institutions that received the Carnegie Foundation for Teaching’s Community Engagement Elective Classification since the classification was first established in 2006.</w:t>
      </w:r>
    </w:p>
    <w:p w:rsidR="0048342C" w:rsidRPr="00834944" w:rsidRDefault="0048342C" w:rsidP="004B717C">
      <w:pPr>
        <w:rPr>
          <w:rFonts w:ascii="Times New Roman" w:hAnsi="Times New Roman" w:cs="Times New Roman"/>
        </w:rPr>
      </w:pPr>
    </w:p>
    <w:p w:rsidR="00B0187C" w:rsidRPr="00834944" w:rsidRDefault="00B0187C" w:rsidP="00601DF6">
      <w:pPr>
        <w:spacing w:beforeLines="1" w:before="2" w:afterLines="1" w:after="2"/>
        <w:rPr>
          <w:rFonts w:ascii="Times New Roman" w:hAnsi="Times New Roman" w:cs="Times New Roman"/>
        </w:rPr>
      </w:pPr>
    </w:p>
    <w:p w:rsidR="00B0187C" w:rsidRPr="00834944" w:rsidRDefault="00B0187C" w:rsidP="004B717C">
      <w:pPr>
        <w:rPr>
          <w:rFonts w:ascii="Times New Roman" w:hAnsi="Times New Roman" w:cs="Times New Roman"/>
          <w:b/>
        </w:rPr>
      </w:pPr>
      <w:r w:rsidRPr="00834944">
        <w:rPr>
          <w:rFonts w:ascii="Times New Roman" w:hAnsi="Times New Roman" w:cs="Times New Roman"/>
          <w:b/>
        </w:rPr>
        <w:t>References:</w:t>
      </w:r>
    </w:p>
    <w:p w:rsidR="00B0187C" w:rsidRPr="00834944" w:rsidRDefault="00B0187C" w:rsidP="004B717C">
      <w:pPr>
        <w:rPr>
          <w:rFonts w:ascii="Times New Roman" w:hAnsi="Times New Roman" w:cs="Times New Roman"/>
          <w:color w:val="141413"/>
        </w:rPr>
      </w:pPr>
      <w:r w:rsidRPr="00834944">
        <w:rPr>
          <w:rFonts w:ascii="Times New Roman" w:hAnsi="Times New Roman" w:cs="Times New Roman"/>
          <w:color w:val="141413"/>
        </w:rPr>
        <w:t xml:space="preserve">Antonio, A. L. 2002. Faculty of color reconsidered: Reassessing contributions to scholarship. </w:t>
      </w:r>
      <w:r w:rsidRPr="00834944">
        <w:rPr>
          <w:rFonts w:ascii="Times New Roman" w:hAnsi="Times New Roman" w:cs="Times New Roman"/>
          <w:i/>
          <w:color w:val="141413"/>
        </w:rPr>
        <w:t>The Journal of Higher Education</w:t>
      </w:r>
      <w:r w:rsidRPr="00834944">
        <w:rPr>
          <w:rFonts w:ascii="Times New Roman" w:hAnsi="Times New Roman" w:cs="Times New Roman"/>
          <w:color w:val="141413"/>
        </w:rPr>
        <w:t xml:space="preserve"> 73 (5): 582-602.</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834944">
        <w:rPr>
          <w:rFonts w:ascii="Times New Roman" w:hAnsi="Times New Roman" w:cs="Times New Roman"/>
          <w:color w:val="141413"/>
        </w:rPr>
        <w:t xml:space="preserve">Antonio, A. L., Astin, H. S., &amp; Cress, C. M. (2000). Community service in higher education: A look at the nation’s faculty. </w:t>
      </w:r>
      <w:r w:rsidRPr="00834944">
        <w:rPr>
          <w:rFonts w:ascii="Times New Roman" w:hAnsi="Times New Roman" w:cs="Times New Roman"/>
          <w:i/>
          <w:color w:val="141413"/>
        </w:rPr>
        <w:t>The Review of Higher Education</w:t>
      </w:r>
      <w:r w:rsidRPr="00834944">
        <w:rPr>
          <w:rFonts w:ascii="Times New Roman" w:hAnsi="Times New Roman" w:cs="Times New Roman"/>
          <w:color w:val="141413"/>
        </w:rPr>
        <w:t>, 23(4) 373–398.</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834944">
        <w:rPr>
          <w:rFonts w:ascii="Times New Roman" w:hAnsi="Times New Roman" w:cs="Times New Roman"/>
          <w:color w:val="141413"/>
        </w:rPr>
        <w:t xml:space="preserve">Baez, B. (2000). Race-related service and faculty of color: Conceptualizing critical agency in academe. </w:t>
      </w:r>
      <w:r w:rsidRPr="00834944">
        <w:rPr>
          <w:rFonts w:ascii="Times New Roman" w:hAnsi="Times New Roman" w:cs="Times New Roman"/>
          <w:i/>
          <w:color w:val="141413"/>
        </w:rPr>
        <w:t>Higher Education</w:t>
      </w:r>
      <w:r w:rsidRPr="00834944">
        <w:rPr>
          <w:rFonts w:ascii="Times New Roman" w:hAnsi="Times New Roman" w:cs="Times New Roman"/>
          <w:color w:val="141413"/>
        </w:rPr>
        <w:t>, 39, 363–391.</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834944">
        <w:rPr>
          <w:rFonts w:ascii="Times New Roman" w:hAnsi="Times New Roman" w:cs="Times New Roman"/>
          <w:color w:val="141413"/>
        </w:rPr>
        <w:t xml:space="preserve">Bok, D. C. (2003) </w:t>
      </w:r>
      <w:r w:rsidRPr="00834944">
        <w:rPr>
          <w:rFonts w:ascii="Times New Roman" w:hAnsi="Times New Roman" w:cs="Times New Roman"/>
          <w:i/>
          <w:color w:val="141413"/>
        </w:rPr>
        <w:t>Universities in the Marketplace: The Commercialization of Higher Education</w:t>
      </w:r>
      <w:r w:rsidRPr="00834944">
        <w:rPr>
          <w:rFonts w:ascii="Times New Roman" w:hAnsi="Times New Roman" w:cs="Times New Roman"/>
          <w:color w:val="141413"/>
        </w:rPr>
        <w:t>. Princeton, NJ: Princeton University Press.</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rsidR="00B0187C" w:rsidRPr="00834944" w:rsidRDefault="00B0187C" w:rsidP="004B717C">
      <w:pPr>
        <w:rPr>
          <w:rFonts w:ascii="Times New Roman" w:hAnsi="Times New Roman" w:cs="Times New Roman"/>
        </w:rPr>
      </w:pPr>
      <w:r w:rsidRPr="00834944">
        <w:rPr>
          <w:rFonts w:ascii="Times New Roman" w:hAnsi="Times New Roman" w:cs="Times New Roman"/>
        </w:rPr>
        <w:t xml:space="preserve">Cress, C.M., Burack, C., Giles, D. E., Jr., Elkins, J, Stevens, M.C. (2010) </w:t>
      </w:r>
      <w:r w:rsidRPr="00834944">
        <w:rPr>
          <w:rFonts w:ascii="Times New Roman" w:hAnsi="Times New Roman" w:cs="Times New Roman"/>
          <w:i/>
        </w:rPr>
        <w:t>A Promising Connection: Increasing College Access and Success through Civic Engagement</w:t>
      </w:r>
      <w:r w:rsidRPr="00834944">
        <w:rPr>
          <w:rFonts w:ascii="Times New Roman" w:hAnsi="Times New Roman" w:cs="Times New Roman"/>
        </w:rPr>
        <w:t>. Boston, MA: Campus Compact.</w:t>
      </w:r>
    </w:p>
    <w:p w:rsidR="00B0187C" w:rsidRPr="00834944" w:rsidRDefault="00B0187C" w:rsidP="004B717C">
      <w:pPr>
        <w:rPr>
          <w:rFonts w:ascii="Times New Roman" w:hAnsi="Times New Roman" w:cs="Times New Roman"/>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34944">
        <w:rPr>
          <w:rFonts w:ascii="Times New Roman" w:hAnsi="Times New Roman" w:cs="Times New Roman"/>
        </w:rPr>
        <w:t xml:space="preserve">Ellison, J.,  and Eatman, T.K. (2008) </w:t>
      </w:r>
      <w:r w:rsidRPr="00834944">
        <w:rPr>
          <w:rFonts w:ascii="Times New Roman" w:hAnsi="Times New Roman" w:cs="Times New Roman"/>
          <w:i/>
        </w:rPr>
        <w:t>Scholarship in Public: Knowledge Creation and Tenure Policy in the Engaged University</w:t>
      </w:r>
      <w:r w:rsidRPr="00834944">
        <w:rPr>
          <w:rFonts w:ascii="Times New Roman" w:hAnsi="Times New Roman" w:cs="Times New Roman"/>
        </w:rPr>
        <w:t>. Imagining America: Artists and Scholars in Public Life Tenure Team Initiative on Public Scholarship.</w:t>
      </w:r>
    </w:p>
    <w:p w:rsidR="00B0187C" w:rsidRPr="00834944" w:rsidRDefault="00B0187C" w:rsidP="004B717C">
      <w:pPr>
        <w:widowControl w:val="0"/>
        <w:tabs>
          <w:tab w:val="left" w:pos="720"/>
          <w:tab w:val="left" w:pos="1440"/>
          <w:tab w:val="left" w:pos="2160"/>
        </w:tabs>
        <w:autoSpaceDE w:val="0"/>
        <w:autoSpaceDN w:val="0"/>
        <w:adjustRightInd w:val="0"/>
        <w:rPr>
          <w:rFonts w:ascii="Times New Roman" w:hAnsi="Times New Roman" w:cs="Times New Roman"/>
        </w:rPr>
      </w:pPr>
      <w:r w:rsidRPr="00834944">
        <w:rPr>
          <w:rFonts w:ascii="Times New Roman" w:hAnsi="Times New Roman" w:cs="Times New Roman"/>
        </w:rPr>
        <w:tab/>
      </w:r>
      <w:r w:rsidRPr="00834944">
        <w:rPr>
          <w:rFonts w:ascii="Times New Roman" w:hAnsi="Times New Roman" w:cs="Times New Roman"/>
        </w:rPr>
        <w:tab/>
      </w:r>
      <w:r w:rsidRPr="00834944">
        <w:rPr>
          <w:rFonts w:ascii="Times New Roman" w:hAnsi="Times New Roman" w:cs="Times New Roman"/>
        </w:rPr>
        <w:tab/>
      </w:r>
      <w:r w:rsidRPr="00834944">
        <w:rPr>
          <w:rFonts w:ascii="Times New Roman" w:hAnsi="Times New Roman" w:cs="Times New Roman"/>
        </w:rPr>
        <w:tab/>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834944">
        <w:rPr>
          <w:rFonts w:ascii="Times New Roman" w:eastAsia="Times New Roman" w:hAnsi="Times New Roman" w:cs="Times New Roman"/>
        </w:rPr>
        <w:t>Hale, C.R.,Ed. (2008) Engaging Contradictions: Theory, Politics, and Methods of Activist Scholarship, Berkeley, CA: GAIA Books, Global, Area, and International Archive, University of California Press</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34944">
        <w:rPr>
          <w:rFonts w:ascii="Times New Roman" w:hAnsi="Times New Roman" w:cs="Times New Roman"/>
          <w:color w:val="000000"/>
        </w:rPr>
        <w:t xml:space="preserve">Hurtado, S . (2001) Linking diversity and educational purpose : How diversity affects the classroom environment and student development . In G. Orfield (Ed .), </w:t>
      </w:r>
      <w:r w:rsidRPr="00834944">
        <w:rPr>
          <w:rFonts w:ascii="Times New Roman" w:hAnsi="Times New Roman" w:cs="Times New Roman"/>
          <w:i/>
          <w:iCs/>
          <w:color w:val="000000"/>
        </w:rPr>
        <w:t xml:space="preserve">Diversity challenged: Evidence on the impact of affirmative action </w:t>
      </w:r>
      <w:r w:rsidRPr="00834944">
        <w:rPr>
          <w:rFonts w:ascii="Times New Roman" w:hAnsi="Times New Roman" w:cs="Times New Roman"/>
          <w:color w:val="000000"/>
        </w:rPr>
        <w:t xml:space="preserve">(pp . 187-203) . Cambridge, MA: Harvard Education Publishing Group and The Civil Rights Project at Harvard University. </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834944">
        <w:rPr>
          <w:rFonts w:ascii="Times New Roman" w:eastAsia="Times New Roman" w:hAnsi="Times New Roman" w:cs="Times New Roman"/>
          <w:bCs/>
        </w:rPr>
        <w:t xml:space="preserve">Hurtado, S. (2007) </w:t>
      </w:r>
      <w:r w:rsidRPr="00834944">
        <w:rPr>
          <w:rFonts w:ascii="Times New Roman" w:eastAsia="Times New Roman" w:hAnsi="Times New Roman" w:cs="Times New Roman"/>
          <w:i/>
          <w:iCs/>
        </w:rPr>
        <w:t>Linking Diversity with the Educational and Civic Missions of Higher Education</w:t>
      </w:r>
      <w:r w:rsidRPr="00834944">
        <w:rPr>
          <w:rFonts w:ascii="Times New Roman" w:eastAsia="Times New Roman" w:hAnsi="Times New Roman" w:cs="Times New Roman"/>
        </w:rPr>
        <w:t>. The Review of Higher Education. Volume 30, Number 2, Winter 2007, pp. 185-196.</w:t>
      </w:r>
    </w:p>
    <w:p w:rsidR="00B0187C" w:rsidRPr="00834944" w:rsidRDefault="00B0187C" w:rsidP="004B717C">
      <w:pPr>
        <w:rPr>
          <w:rFonts w:ascii="Times New Roman" w:eastAsia="Times New Roman" w:hAnsi="Times New Roman" w:cs="Times New Roman"/>
        </w:rPr>
      </w:pPr>
    </w:p>
    <w:p w:rsidR="00B0187C" w:rsidRPr="00834944" w:rsidRDefault="00B0187C" w:rsidP="004B717C">
      <w:pPr>
        <w:rPr>
          <w:rFonts w:ascii="Times New Roman" w:eastAsia="Times New Roman" w:hAnsi="Times New Roman" w:cs="Times New Roman"/>
        </w:rPr>
      </w:pPr>
      <w:r w:rsidRPr="00834944">
        <w:rPr>
          <w:rFonts w:ascii="Times New Roman" w:eastAsia="Times New Roman" w:hAnsi="Times New Roman" w:cs="Times New Roman"/>
        </w:rPr>
        <w:t xml:space="preserve">Ibarra, R.A. (2001) </w:t>
      </w:r>
      <w:r w:rsidRPr="00834944">
        <w:rPr>
          <w:rFonts w:ascii="Times New Roman" w:eastAsia="Times New Roman" w:hAnsi="Times New Roman" w:cs="Times New Roman"/>
          <w:i/>
        </w:rPr>
        <w:t>Beyond Affirmative Action: Reframing the Context of Higher Education.</w:t>
      </w:r>
      <w:r w:rsidRPr="00834944">
        <w:rPr>
          <w:rFonts w:ascii="Times New Roman" w:eastAsia="Times New Roman" w:hAnsi="Times New Roman" w:cs="Times New Roman"/>
        </w:rPr>
        <w:t xml:space="preserve"> University of Wisconsin Press. </w:t>
      </w:r>
      <w:r w:rsidRPr="00834944">
        <w:rPr>
          <w:rFonts w:ascii="Times New Roman" w:eastAsia="Times New Roman" w:hAnsi="Times New Roman" w:cs="Times New Roman"/>
        </w:rPr>
        <w:br/>
      </w:r>
    </w:p>
    <w:p w:rsidR="00B0187C" w:rsidRPr="00834944" w:rsidRDefault="00B0187C" w:rsidP="004B717C">
      <w:pPr>
        <w:rPr>
          <w:rFonts w:ascii="Times New Roman" w:eastAsia="Times New Roman" w:hAnsi="Times New Roman" w:cs="Times New Roman"/>
        </w:rPr>
      </w:pPr>
      <w:r w:rsidRPr="00834944">
        <w:rPr>
          <w:rFonts w:ascii="Times New Roman" w:eastAsia="Times New Roman" w:hAnsi="Times New Roman" w:cs="Times New Roman"/>
        </w:rPr>
        <w:t xml:space="preserve">Kuh, G.D. (2008) </w:t>
      </w:r>
      <w:r w:rsidRPr="00834944">
        <w:rPr>
          <w:rFonts w:ascii="Times New Roman" w:eastAsia="Times New Roman" w:hAnsi="Times New Roman" w:cs="Times New Roman"/>
          <w:i/>
        </w:rPr>
        <w:t>High-Impact Educational Practices: What They Are, Who Has Access to Them, and Why They Matter.</w:t>
      </w:r>
      <w:r w:rsidRPr="00834944">
        <w:rPr>
          <w:rFonts w:ascii="Times New Roman" w:eastAsia="Times New Roman" w:hAnsi="Times New Roman" w:cs="Times New Roman"/>
        </w:rPr>
        <w:t xml:space="preserve"> Washington, DC:  Association of American Colleges and Universities</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B0187C" w:rsidRPr="00834944" w:rsidRDefault="00B0187C" w:rsidP="004B717C">
      <w:pPr>
        <w:rPr>
          <w:rFonts w:ascii="Times New Roman" w:hAnsi="Times New Roman" w:cs="Times New Roman"/>
          <w:color w:val="141413"/>
        </w:rPr>
      </w:pPr>
      <w:r w:rsidRPr="00834944">
        <w:rPr>
          <w:rFonts w:ascii="Times New Roman" w:hAnsi="Times New Roman" w:cs="Times New Roman"/>
          <w:color w:val="141413"/>
        </w:rPr>
        <w:t xml:space="preserve">Milem, J. F., M. J. Chang, and A. L. Antonio. 2005. </w:t>
      </w:r>
      <w:r w:rsidRPr="00834944">
        <w:rPr>
          <w:rFonts w:ascii="Times New Roman" w:hAnsi="Times New Roman" w:cs="Times New Roman"/>
          <w:i/>
          <w:color w:val="141413"/>
        </w:rPr>
        <w:t>Making diversity work on campus: A research-based perspective</w:t>
      </w:r>
      <w:r w:rsidRPr="00834944">
        <w:rPr>
          <w:rFonts w:ascii="Times New Roman" w:hAnsi="Times New Roman" w:cs="Times New Roman"/>
          <w:color w:val="141413"/>
        </w:rPr>
        <w:t xml:space="preserve">. Washington, DC: Association of American Colleges and Universities. </w:t>
      </w:r>
      <w:hyperlink r:id="rId9" w:history="1">
        <w:r w:rsidRPr="00834944">
          <w:rPr>
            <w:rStyle w:val="Hyperlink"/>
            <w:rFonts w:ascii="Times New Roman" w:hAnsi="Times New Roman" w:cs="Times New Roman"/>
          </w:rPr>
          <w:t>www.aacu.org/inclusive_excellence/pdfs/Milem_Final.pdf</w:t>
        </w:r>
      </w:hyperlink>
      <w:r w:rsidRPr="00834944">
        <w:rPr>
          <w:rFonts w:ascii="Times New Roman" w:hAnsi="Times New Roman" w:cs="Times New Roman"/>
          <w:color w:val="141413"/>
        </w:rPr>
        <w:t>.</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834944">
        <w:rPr>
          <w:rFonts w:ascii="Times New Roman" w:hAnsi="Times New Roman" w:cs="Times New Roman"/>
          <w:color w:val="141413"/>
        </w:rPr>
        <w:t xml:space="preserve">Moreno, J.F., Smith, D.G., Clayton-Pedersen, A.R., Parker, S., and Teraguchi, D.H. (2006) </w:t>
      </w:r>
      <w:r w:rsidRPr="00834944">
        <w:rPr>
          <w:rFonts w:ascii="Times New Roman" w:hAnsi="Times New Roman" w:cs="Times New Roman"/>
          <w:i/>
          <w:color w:val="141413"/>
        </w:rPr>
        <w:t>The Revolving Door for Underrepresented Minority Faculty in Higher Education: An Analysis from the Campus Diversity Initiative</w:t>
      </w:r>
      <w:r w:rsidRPr="00834944">
        <w:rPr>
          <w:rFonts w:ascii="Times New Roman" w:hAnsi="Times New Roman" w:cs="Times New Roman"/>
          <w:color w:val="141413"/>
        </w:rPr>
        <w:t>. A research brief from The James Irvine Foundation Campus Diversity Initiative Evaluation Project.</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sidRPr="00834944">
        <w:rPr>
          <w:rFonts w:ascii="Times New Roman" w:eastAsia="Times New Roman" w:hAnsi="Times New Roman" w:cs="Times New Roman"/>
        </w:rPr>
        <w:t xml:space="preserve">Rhoades, G. Kiyama, J.M., McCormick, R., and Quiroz, M. (2008) Local cosmopolitans and cosmopolitan locals: New models of professionals in the academy. </w:t>
      </w:r>
      <w:r w:rsidRPr="00834944">
        <w:rPr>
          <w:rFonts w:ascii="Times New Roman" w:eastAsia="Times New Roman" w:hAnsi="Times New Roman" w:cs="Times New Roman"/>
          <w:i/>
        </w:rPr>
        <w:t>The Review of Higher Education,</w:t>
      </w:r>
      <w:r w:rsidRPr="00834944">
        <w:rPr>
          <w:rFonts w:ascii="Times New Roman" w:eastAsia="Times New Roman" w:hAnsi="Times New Roman" w:cs="Times New Roman"/>
        </w:rPr>
        <w:t xml:space="preserve"> 31, 2, 209-35.</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34944">
        <w:rPr>
          <w:rFonts w:ascii="Times New Roman" w:hAnsi="Times New Roman" w:cs="Times New Roman"/>
        </w:rPr>
        <w:t xml:space="preserve">Saltmarsh, J., Giles, D.E. Jr., O’Meara, K., Sandmann, L., Ward, , E. and Buglione, S.M. (2009) “Community Engagement and Institutional Culture in Higher Education: An Investigation of faculty reward Policies at Engaged Campuses,” in Billig, S.H, Moely, B.E, and Holland, B.A., eds., </w:t>
      </w:r>
      <w:r w:rsidRPr="00834944">
        <w:rPr>
          <w:rFonts w:ascii="Times New Roman" w:hAnsi="Times New Roman" w:cs="Times New Roman"/>
          <w:i/>
        </w:rPr>
        <w:t>Creating Our Identities in Service-Learning and Community Engagement,</w:t>
      </w:r>
      <w:r w:rsidRPr="00834944">
        <w:rPr>
          <w:rFonts w:ascii="Times New Roman" w:hAnsi="Times New Roman" w:cs="Times New Roman"/>
        </w:rPr>
        <w:t xml:space="preserve"> Vol. 10 in Advances in Service-Learning Research. Charlotte, NC;  Information Age Publishing.</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620C58"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834944">
        <w:rPr>
          <w:rFonts w:ascii="Times New Roman" w:hAnsi="Times New Roman" w:cs="Times New Roman"/>
          <w:color w:val="141413"/>
        </w:rPr>
        <w:t xml:space="preserve">Swail, W. S., Redd, K.E., and Perna, L.W. (2003) </w:t>
      </w:r>
      <w:r w:rsidRPr="00834944">
        <w:rPr>
          <w:rFonts w:ascii="Times New Roman" w:hAnsi="Times New Roman" w:cs="Times New Roman"/>
          <w:i/>
          <w:color w:val="141413"/>
        </w:rPr>
        <w:t>Retaining Minority Students in Higher Education: A Framework for Success.</w:t>
      </w:r>
      <w:r w:rsidRPr="00834944">
        <w:rPr>
          <w:rFonts w:ascii="Times New Roman" w:hAnsi="Times New Roman" w:cs="Times New Roman"/>
          <w:color w:val="141413"/>
        </w:rPr>
        <w:t xml:space="preserve"> ASHE-ERIC Higher Education Report: Volume 30, Number 2.</w:t>
      </w:r>
    </w:p>
    <w:p w:rsidR="00620C58" w:rsidRPr="00834944" w:rsidRDefault="00620C58"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rsidR="00620C58" w:rsidRPr="00834944" w:rsidRDefault="00620C58" w:rsidP="004B717C">
      <w:pPr>
        <w:rPr>
          <w:rFonts w:ascii="Times New Roman" w:hAnsi="Times New Roman"/>
        </w:rPr>
      </w:pPr>
      <w:r w:rsidRPr="00834944">
        <w:rPr>
          <w:rFonts w:ascii="Times New Roman" w:hAnsi="Times New Roman"/>
          <w:color w:val="000000"/>
        </w:rPr>
        <w:t xml:space="preserve">Yosso, T.J., Parker, L., Solórzano, D.G., Lynn, M. (2004) “From Jim Crow to Affirmative Action and Back Again: A Critical Race Discussion of Racialized Rationales and Access to Higher Education.” </w:t>
      </w:r>
      <w:r w:rsidRPr="00834944">
        <w:rPr>
          <w:rFonts w:ascii="Times New Roman" w:hAnsi="Times New Roman"/>
          <w:i/>
          <w:color w:val="000000"/>
        </w:rPr>
        <w:t>Review of Research in Education</w:t>
      </w:r>
      <w:r w:rsidRPr="00834944">
        <w:rPr>
          <w:rFonts w:ascii="Times New Roman" w:hAnsi="Times New Roman"/>
          <w:color w:val="000000"/>
        </w:rPr>
        <w:t>, Vol. 28 (2004), pp. 1-25</w:t>
      </w: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0187C" w:rsidRPr="00834944" w:rsidRDefault="00B0187C" w:rsidP="004B7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34944">
        <w:rPr>
          <w:rFonts w:ascii="Times New Roman" w:hAnsi="Times New Roman" w:cs="Times New Roman"/>
          <w:color w:val="000000"/>
        </w:rPr>
        <w:t xml:space="preserve">Vogelgesang, L.J., </w:t>
      </w:r>
      <w:r w:rsidRPr="00834944">
        <w:rPr>
          <w:rFonts w:ascii="Times New Roman" w:hAnsi="Times New Roman" w:cs="Times New Roman"/>
        </w:rPr>
        <w:t>Denson</w:t>
      </w:r>
      <w:r w:rsidRPr="00834944">
        <w:rPr>
          <w:rFonts w:ascii="Times New Roman" w:hAnsi="Times New Roman" w:cs="Times New Roman"/>
          <w:color w:val="000000"/>
        </w:rPr>
        <w:t>, N., Jayakumar, U.M. (2010)</w:t>
      </w:r>
      <w:r w:rsidRPr="00834944">
        <w:rPr>
          <w:rFonts w:ascii="Times New Roman" w:hAnsi="Times New Roman" w:cs="Times New Roman"/>
          <w:bCs/>
          <w:color w:val="000000"/>
        </w:rPr>
        <w:t>What Determines Faculty-Engaged Scholarship?</w:t>
      </w:r>
      <w:r w:rsidRPr="00834944">
        <w:rPr>
          <w:rFonts w:ascii="Times New Roman" w:hAnsi="Times New Roman" w:cs="Times New Roman"/>
          <w:color w:val="000000"/>
        </w:rPr>
        <w:t xml:space="preserve"> </w:t>
      </w:r>
      <w:r w:rsidRPr="00834944">
        <w:rPr>
          <w:rFonts w:ascii="Times New Roman" w:hAnsi="Times New Roman" w:cs="Times New Roman"/>
          <w:i/>
          <w:color w:val="000000"/>
        </w:rPr>
        <w:t>The Review of Higher Education</w:t>
      </w:r>
      <w:r w:rsidRPr="00834944">
        <w:rPr>
          <w:rFonts w:ascii="Times New Roman" w:hAnsi="Times New Roman" w:cs="Times New Roman"/>
          <w:color w:val="000000"/>
        </w:rPr>
        <w:t>, Volume 33, Number 4, Summer 2010, pp. 437-472.</w:t>
      </w:r>
    </w:p>
    <w:p w:rsidR="00B0187C" w:rsidRPr="00834944" w:rsidRDefault="00B0187C" w:rsidP="004B717C">
      <w:pPr>
        <w:rPr>
          <w:rFonts w:ascii="Times New Roman" w:hAnsi="Times New Roman" w:cs="Times New Roman"/>
        </w:rPr>
      </w:pPr>
    </w:p>
    <w:p w:rsidR="00620C58" w:rsidRPr="00834944" w:rsidRDefault="00620C58" w:rsidP="004B717C">
      <w:pPr>
        <w:rPr>
          <w:rFonts w:ascii="Times New Roman" w:hAnsi="Times New Roman"/>
          <w:b/>
        </w:rPr>
      </w:pPr>
      <w:r w:rsidRPr="00834944">
        <w:rPr>
          <w:rFonts w:ascii="Times New Roman" w:hAnsi="Times New Roman"/>
          <w:b/>
        </w:rPr>
        <w:t>Appendices:</w:t>
      </w:r>
    </w:p>
    <w:p w:rsidR="00620C58" w:rsidRPr="00834944" w:rsidRDefault="00620C58" w:rsidP="004B717C">
      <w:pPr>
        <w:rPr>
          <w:rFonts w:ascii="Times New Roman" w:hAnsi="Times New Roman"/>
        </w:rPr>
      </w:pPr>
      <w:r w:rsidRPr="00834944">
        <w:rPr>
          <w:rFonts w:ascii="Times New Roman" w:hAnsi="Times New Roman"/>
        </w:rPr>
        <w:t xml:space="preserve">New England Resource Center for Higher Education (NERCHE) Next Generation Project Team: see </w:t>
      </w:r>
      <w:hyperlink r:id="rId10" w:history="1">
        <w:r w:rsidRPr="00834944">
          <w:rPr>
            <w:rStyle w:val="Hyperlink"/>
            <w:rFonts w:ascii="Times New Roman" w:hAnsi="Times New Roman"/>
          </w:rPr>
          <w:t>http://www.nerche.org/index.php?option=com_content&amp;view=article&amp;id=355&amp;Itemid=96</w:t>
        </w:r>
      </w:hyperlink>
    </w:p>
    <w:p w:rsidR="0057585E" w:rsidRPr="00834944" w:rsidRDefault="0057585E" w:rsidP="004B717C">
      <w:pPr>
        <w:rPr>
          <w:rFonts w:ascii="Times New Roman" w:hAnsi="Times New Roman"/>
        </w:rPr>
      </w:pPr>
    </w:p>
    <w:sectPr w:rsidR="0057585E" w:rsidRPr="00834944" w:rsidSect="0057585E">
      <w:headerReference w:type="default" r:id="rId11"/>
      <w:footerReference w:type="default" r:id="rId12"/>
      <w:pgSz w:w="12240" w:h="15840"/>
      <w:pgMar w:top="720" w:right="288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DF6">
      <w:r>
        <w:separator/>
      </w:r>
    </w:p>
  </w:endnote>
  <w:endnote w:type="continuationSeparator" w:id="0">
    <w:p w:rsidR="00000000" w:rsidRDefault="0060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857"/>
      <w:docPartObj>
        <w:docPartGallery w:val="Page Numbers (Bottom of Page)"/>
        <w:docPartUnique/>
      </w:docPartObj>
    </w:sdtPr>
    <w:sdtEndPr>
      <w:rPr>
        <w:color w:val="7F7F7F" w:themeColor="background1" w:themeShade="7F"/>
        <w:spacing w:val="60"/>
      </w:rPr>
    </w:sdtEndPr>
    <w:sdtContent>
      <w:p w:rsidR="004B717C" w:rsidRDefault="00601DF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rsidR="004B717C">
          <w:t xml:space="preserve"> | </w:t>
        </w:r>
        <w:r w:rsidR="004B717C">
          <w:rPr>
            <w:color w:val="7F7F7F" w:themeColor="background1" w:themeShade="7F"/>
            <w:spacing w:val="60"/>
          </w:rPr>
          <w:t>Page</w:t>
        </w:r>
      </w:p>
    </w:sdtContent>
  </w:sdt>
  <w:p w:rsidR="004B717C" w:rsidRDefault="004B71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DF6">
      <w:r>
        <w:separator/>
      </w:r>
    </w:p>
  </w:footnote>
  <w:footnote w:type="continuationSeparator" w:id="0">
    <w:p w:rsidR="00000000" w:rsidRDefault="00601D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7C" w:rsidRPr="00620C58" w:rsidRDefault="004B717C">
    <w:pPr>
      <w:pStyle w:val="Header"/>
      <w:rPr>
        <w:color w:val="BFBFBF" w:themeColor="background1" w:themeShade="BF"/>
      </w:rPr>
    </w:pPr>
    <w:r w:rsidRPr="00620C58">
      <w:rPr>
        <w:color w:val="BFBFBF" w:themeColor="background1" w:themeShade="BF"/>
      </w:rPr>
      <w:t>SSRC proposal 12.16.2010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A82"/>
    <w:multiLevelType w:val="hybridMultilevel"/>
    <w:tmpl w:val="C7106F42"/>
    <w:lvl w:ilvl="0" w:tplc="6F80F0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E0281"/>
    <w:multiLevelType w:val="hybridMultilevel"/>
    <w:tmpl w:val="6C7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6187E"/>
    <w:multiLevelType w:val="hybridMultilevel"/>
    <w:tmpl w:val="56A0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96F0C"/>
    <w:multiLevelType w:val="hybridMultilevel"/>
    <w:tmpl w:val="001A2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94653"/>
    <w:multiLevelType w:val="hybridMultilevel"/>
    <w:tmpl w:val="56B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7C"/>
    <w:rsid w:val="00041E3A"/>
    <w:rsid w:val="00050C1E"/>
    <w:rsid w:val="00172271"/>
    <w:rsid w:val="00202657"/>
    <w:rsid w:val="002E6B23"/>
    <w:rsid w:val="003D5900"/>
    <w:rsid w:val="004066E3"/>
    <w:rsid w:val="004642C4"/>
    <w:rsid w:val="0048342C"/>
    <w:rsid w:val="004B717C"/>
    <w:rsid w:val="004F122B"/>
    <w:rsid w:val="00511243"/>
    <w:rsid w:val="0052453C"/>
    <w:rsid w:val="0057585E"/>
    <w:rsid w:val="00601DF6"/>
    <w:rsid w:val="00620C58"/>
    <w:rsid w:val="006A2F98"/>
    <w:rsid w:val="006D4F16"/>
    <w:rsid w:val="007076E9"/>
    <w:rsid w:val="00715C5F"/>
    <w:rsid w:val="00772319"/>
    <w:rsid w:val="007841E1"/>
    <w:rsid w:val="00834944"/>
    <w:rsid w:val="008A5311"/>
    <w:rsid w:val="00976DBF"/>
    <w:rsid w:val="00B0187C"/>
    <w:rsid w:val="00EB690C"/>
    <w:rsid w:val="00ED57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7C"/>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187C"/>
    <w:rPr>
      <w:i/>
    </w:rPr>
  </w:style>
  <w:style w:type="paragraph" w:customStyle="1" w:styleId="Default">
    <w:name w:val="Default"/>
    <w:rsid w:val="00B0187C"/>
    <w:pPr>
      <w:autoSpaceDE w:val="0"/>
      <w:autoSpaceDN w:val="0"/>
      <w:adjustRightInd w:val="0"/>
    </w:pPr>
    <w:rPr>
      <w:rFonts w:ascii="Arial" w:eastAsiaTheme="minorEastAsia" w:hAnsi="Arial" w:cs="Arial"/>
      <w:color w:val="000000"/>
      <w:sz w:val="24"/>
      <w:szCs w:val="24"/>
      <w:lang w:eastAsia="ja-JP"/>
    </w:rPr>
  </w:style>
  <w:style w:type="paragraph" w:styleId="ListParagraph">
    <w:name w:val="List Paragraph"/>
    <w:basedOn w:val="Normal"/>
    <w:uiPriority w:val="34"/>
    <w:qFormat/>
    <w:rsid w:val="00B0187C"/>
    <w:pPr>
      <w:spacing w:after="200" w:line="276" w:lineRule="auto"/>
      <w:ind w:left="720"/>
      <w:contextualSpacing/>
    </w:pPr>
    <w:rPr>
      <w:sz w:val="22"/>
      <w:szCs w:val="22"/>
    </w:rPr>
  </w:style>
  <w:style w:type="paragraph" w:styleId="Header">
    <w:name w:val="header"/>
    <w:basedOn w:val="Normal"/>
    <w:link w:val="HeaderChar"/>
    <w:uiPriority w:val="99"/>
    <w:unhideWhenUsed/>
    <w:rsid w:val="00B0187C"/>
    <w:pPr>
      <w:tabs>
        <w:tab w:val="center" w:pos="4680"/>
        <w:tab w:val="right" w:pos="9360"/>
      </w:tabs>
    </w:pPr>
  </w:style>
  <w:style w:type="character" w:customStyle="1" w:styleId="HeaderChar">
    <w:name w:val="Header Char"/>
    <w:basedOn w:val="DefaultParagraphFont"/>
    <w:link w:val="Header"/>
    <w:uiPriority w:val="99"/>
    <w:rsid w:val="00B0187C"/>
    <w:rPr>
      <w:rFonts w:eastAsiaTheme="minorEastAsia"/>
      <w:sz w:val="24"/>
      <w:szCs w:val="24"/>
      <w:lang w:eastAsia="ja-JP"/>
    </w:rPr>
  </w:style>
  <w:style w:type="paragraph" w:styleId="Footer">
    <w:name w:val="footer"/>
    <w:basedOn w:val="Normal"/>
    <w:link w:val="FooterChar"/>
    <w:uiPriority w:val="99"/>
    <w:unhideWhenUsed/>
    <w:rsid w:val="00B0187C"/>
    <w:pPr>
      <w:tabs>
        <w:tab w:val="center" w:pos="4680"/>
        <w:tab w:val="right" w:pos="9360"/>
      </w:tabs>
    </w:pPr>
  </w:style>
  <w:style w:type="character" w:customStyle="1" w:styleId="FooterChar">
    <w:name w:val="Footer Char"/>
    <w:basedOn w:val="DefaultParagraphFont"/>
    <w:link w:val="Footer"/>
    <w:uiPriority w:val="99"/>
    <w:rsid w:val="00B0187C"/>
    <w:rPr>
      <w:rFonts w:eastAsiaTheme="minorEastAsia"/>
      <w:sz w:val="24"/>
      <w:szCs w:val="24"/>
      <w:lang w:eastAsia="ja-JP"/>
    </w:rPr>
  </w:style>
  <w:style w:type="paragraph" w:styleId="BalloonText">
    <w:name w:val="Balloon Text"/>
    <w:basedOn w:val="Normal"/>
    <w:link w:val="BalloonTextChar"/>
    <w:uiPriority w:val="99"/>
    <w:semiHidden/>
    <w:unhideWhenUsed/>
    <w:rsid w:val="00B0187C"/>
    <w:rPr>
      <w:rFonts w:ascii="Lucida Grande" w:hAnsi="Lucida Grande"/>
      <w:sz w:val="18"/>
      <w:szCs w:val="18"/>
    </w:rPr>
  </w:style>
  <w:style w:type="character" w:customStyle="1" w:styleId="BalloonTextChar">
    <w:name w:val="Balloon Text Char"/>
    <w:basedOn w:val="DefaultParagraphFont"/>
    <w:link w:val="BalloonText"/>
    <w:uiPriority w:val="99"/>
    <w:semiHidden/>
    <w:rsid w:val="00B0187C"/>
    <w:rPr>
      <w:rFonts w:ascii="Lucida Grande" w:eastAsiaTheme="minorEastAsia" w:hAnsi="Lucida Grande"/>
      <w:sz w:val="18"/>
      <w:szCs w:val="18"/>
      <w:lang w:eastAsia="ja-JP"/>
    </w:rPr>
  </w:style>
  <w:style w:type="paragraph" w:styleId="DocumentMap">
    <w:name w:val="Document Map"/>
    <w:basedOn w:val="Normal"/>
    <w:link w:val="DocumentMapChar"/>
    <w:uiPriority w:val="99"/>
    <w:semiHidden/>
    <w:unhideWhenUsed/>
    <w:rsid w:val="00B0187C"/>
    <w:rPr>
      <w:rFonts w:ascii="Lucida Grande" w:hAnsi="Lucida Grande"/>
    </w:rPr>
  </w:style>
  <w:style w:type="character" w:customStyle="1" w:styleId="DocumentMapChar">
    <w:name w:val="Document Map Char"/>
    <w:basedOn w:val="DefaultParagraphFont"/>
    <w:link w:val="DocumentMap"/>
    <w:uiPriority w:val="99"/>
    <w:semiHidden/>
    <w:rsid w:val="00B0187C"/>
    <w:rPr>
      <w:rFonts w:ascii="Lucida Grande" w:eastAsiaTheme="minorEastAsia" w:hAnsi="Lucida Grande"/>
      <w:sz w:val="24"/>
      <w:szCs w:val="24"/>
      <w:lang w:eastAsia="ja-JP"/>
    </w:rPr>
  </w:style>
  <w:style w:type="character" w:styleId="CommentReference">
    <w:name w:val="annotation reference"/>
    <w:basedOn w:val="DefaultParagraphFont"/>
    <w:uiPriority w:val="99"/>
    <w:semiHidden/>
    <w:unhideWhenUsed/>
    <w:rsid w:val="00B0187C"/>
    <w:rPr>
      <w:sz w:val="18"/>
      <w:szCs w:val="18"/>
    </w:rPr>
  </w:style>
  <w:style w:type="paragraph" w:styleId="CommentText">
    <w:name w:val="annotation text"/>
    <w:basedOn w:val="Normal"/>
    <w:link w:val="CommentTextChar"/>
    <w:uiPriority w:val="99"/>
    <w:semiHidden/>
    <w:unhideWhenUsed/>
    <w:rsid w:val="00B0187C"/>
  </w:style>
  <w:style w:type="character" w:customStyle="1" w:styleId="CommentTextChar">
    <w:name w:val="Comment Text Char"/>
    <w:basedOn w:val="DefaultParagraphFont"/>
    <w:link w:val="CommentText"/>
    <w:uiPriority w:val="99"/>
    <w:semiHidden/>
    <w:rsid w:val="00B0187C"/>
    <w:rPr>
      <w:rFonts w:eastAsiaTheme="minorEastAsia"/>
      <w:sz w:val="24"/>
      <w:szCs w:val="24"/>
      <w:lang w:eastAsia="ja-JP"/>
    </w:rPr>
  </w:style>
  <w:style w:type="paragraph" w:styleId="CommentSubject">
    <w:name w:val="annotation subject"/>
    <w:basedOn w:val="CommentText"/>
    <w:next w:val="CommentText"/>
    <w:link w:val="CommentSubjectChar"/>
    <w:uiPriority w:val="99"/>
    <w:semiHidden/>
    <w:unhideWhenUsed/>
    <w:rsid w:val="00B0187C"/>
    <w:rPr>
      <w:b/>
      <w:bCs/>
      <w:sz w:val="20"/>
      <w:szCs w:val="20"/>
    </w:rPr>
  </w:style>
  <w:style w:type="character" w:customStyle="1" w:styleId="CommentSubjectChar">
    <w:name w:val="Comment Subject Char"/>
    <w:basedOn w:val="CommentTextChar"/>
    <w:link w:val="CommentSubject"/>
    <w:uiPriority w:val="99"/>
    <w:semiHidden/>
    <w:rsid w:val="00B0187C"/>
    <w:rPr>
      <w:rFonts w:eastAsiaTheme="minorEastAsia"/>
      <w:b/>
      <w:bCs/>
      <w:sz w:val="24"/>
      <w:szCs w:val="24"/>
      <w:lang w:eastAsia="ja-JP"/>
    </w:rPr>
  </w:style>
  <w:style w:type="character" w:styleId="Hyperlink">
    <w:name w:val="Hyperlink"/>
    <w:basedOn w:val="DefaultParagraphFont"/>
    <w:uiPriority w:val="99"/>
    <w:unhideWhenUsed/>
    <w:rsid w:val="00B0187C"/>
    <w:rPr>
      <w:color w:val="0000FF" w:themeColor="hyperlink"/>
      <w:u w:val="single"/>
    </w:rPr>
  </w:style>
  <w:style w:type="table" w:styleId="TableGrid">
    <w:name w:val="Table Grid"/>
    <w:basedOn w:val="TableNormal"/>
    <w:uiPriority w:val="59"/>
    <w:rsid w:val="00B0187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187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7C"/>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187C"/>
    <w:rPr>
      <w:i/>
    </w:rPr>
  </w:style>
  <w:style w:type="paragraph" w:customStyle="1" w:styleId="Default">
    <w:name w:val="Default"/>
    <w:rsid w:val="00B0187C"/>
    <w:pPr>
      <w:autoSpaceDE w:val="0"/>
      <w:autoSpaceDN w:val="0"/>
      <w:adjustRightInd w:val="0"/>
    </w:pPr>
    <w:rPr>
      <w:rFonts w:ascii="Arial" w:eastAsiaTheme="minorEastAsia" w:hAnsi="Arial" w:cs="Arial"/>
      <w:color w:val="000000"/>
      <w:sz w:val="24"/>
      <w:szCs w:val="24"/>
      <w:lang w:eastAsia="ja-JP"/>
    </w:rPr>
  </w:style>
  <w:style w:type="paragraph" w:styleId="ListParagraph">
    <w:name w:val="List Paragraph"/>
    <w:basedOn w:val="Normal"/>
    <w:uiPriority w:val="34"/>
    <w:qFormat/>
    <w:rsid w:val="00B0187C"/>
    <w:pPr>
      <w:spacing w:after="200" w:line="276" w:lineRule="auto"/>
      <w:ind w:left="720"/>
      <w:contextualSpacing/>
    </w:pPr>
    <w:rPr>
      <w:sz w:val="22"/>
      <w:szCs w:val="22"/>
    </w:rPr>
  </w:style>
  <w:style w:type="paragraph" w:styleId="Header">
    <w:name w:val="header"/>
    <w:basedOn w:val="Normal"/>
    <w:link w:val="HeaderChar"/>
    <w:uiPriority w:val="99"/>
    <w:unhideWhenUsed/>
    <w:rsid w:val="00B0187C"/>
    <w:pPr>
      <w:tabs>
        <w:tab w:val="center" w:pos="4680"/>
        <w:tab w:val="right" w:pos="9360"/>
      </w:tabs>
    </w:pPr>
  </w:style>
  <w:style w:type="character" w:customStyle="1" w:styleId="HeaderChar">
    <w:name w:val="Header Char"/>
    <w:basedOn w:val="DefaultParagraphFont"/>
    <w:link w:val="Header"/>
    <w:uiPriority w:val="99"/>
    <w:rsid w:val="00B0187C"/>
    <w:rPr>
      <w:rFonts w:eastAsiaTheme="minorEastAsia"/>
      <w:sz w:val="24"/>
      <w:szCs w:val="24"/>
      <w:lang w:eastAsia="ja-JP"/>
    </w:rPr>
  </w:style>
  <w:style w:type="paragraph" w:styleId="Footer">
    <w:name w:val="footer"/>
    <w:basedOn w:val="Normal"/>
    <w:link w:val="FooterChar"/>
    <w:uiPriority w:val="99"/>
    <w:unhideWhenUsed/>
    <w:rsid w:val="00B0187C"/>
    <w:pPr>
      <w:tabs>
        <w:tab w:val="center" w:pos="4680"/>
        <w:tab w:val="right" w:pos="9360"/>
      </w:tabs>
    </w:pPr>
  </w:style>
  <w:style w:type="character" w:customStyle="1" w:styleId="FooterChar">
    <w:name w:val="Footer Char"/>
    <w:basedOn w:val="DefaultParagraphFont"/>
    <w:link w:val="Footer"/>
    <w:uiPriority w:val="99"/>
    <w:rsid w:val="00B0187C"/>
    <w:rPr>
      <w:rFonts w:eastAsiaTheme="minorEastAsia"/>
      <w:sz w:val="24"/>
      <w:szCs w:val="24"/>
      <w:lang w:eastAsia="ja-JP"/>
    </w:rPr>
  </w:style>
  <w:style w:type="paragraph" w:styleId="BalloonText">
    <w:name w:val="Balloon Text"/>
    <w:basedOn w:val="Normal"/>
    <w:link w:val="BalloonTextChar"/>
    <w:uiPriority w:val="99"/>
    <w:semiHidden/>
    <w:unhideWhenUsed/>
    <w:rsid w:val="00B0187C"/>
    <w:rPr>
      <w:rFonts w:ascii="Lucida Grande" w:hAnsi="Lucida Grande"/>
      <w:sz w:val="18"/>
      <w:szCs w:val="18"/>
    </w:rPr>
  </w:style>
  <w:style w:type="character" w:customStyle="1" w:styleId="BalloonTextChar">
    <w:name w:val="Balloon Text Char"/>
    <w:basedOn w:val="DefaultParagraphFont"/>
    <w:link w:val="BalloonText"/>
    <w:uiPriority w:val="99"/>
    <w:semiHidden/>
    <w:rsid w:val="00B0187C"/>
    <w:rPr>
      <w:rFonts w:ascii="Lucida Grande" w:eastAsiaTheme="minorEastAsia" w:hAnsi="Lucida Grande"/>
      <w:sz w:val="18"/>
      <w:szCs w:val="18"/>
      <w:lang w:eastAsia="ja-JP"/>
    </w:rPr>
  </w:style>
  <w:style w:type="paragraph" w:styleId="DocumentMap">
    <w:name w:val="Document Map"/>
    <w:basedOn w:val="Normal"/>
    <w:link w:val="DocumentMapChar"/>
    <w:uiPriority w:val="99"/>
    <w:semiHidden/>
    <w:unhideWhenUsed/>
    <w:rsid w:val="00B0187C"/>
    <w:rPr>
      <w:rFonts w:ascii="Lucida Grande" w:hAnsi="Lucida Grande"/>
    </w:rPr>
  </w:style>
  <w:style w:type="character" w:customStyle="1" w:styleId="DocumentMapChar">
    <w:name w:val="Document Map Char"/>
    <w:basedOn w:val="DefaultParagraphFont"/>
    <w:link w:val="DocumentMap"/>
    <w:uiPriority w:val="99"/>
    <w:semiHidden/>
    <w:rsid w:val="00B0187C"/>
    <w:rPr>
      <w:rFonts w:ascii="Lucida Grande" w:eastAsiaTheme="minorEastAsia" w:hAnsi="Lucida Grande"/>
      <w:sz w:val="24"/>
      <w:szCs w:val="24"/>
      <w:lang w:eastAsia="ja-JP"/>
    </w:rPr>
  </w:style>
  <w:style w:type="character" w:styleId="CommentReference">
    <w:name w:val="annotation reference"/>
    <w:basedOn w:val="DefaultParagraphFont"/>
    <w:uiPriority w:val="99"/>
    <w:semiHidden/>
    <w:unhideWhenUsed/>
    <w:rsid w:val="00B0187C"/>
    <w:rPr>
      <w:sz w:val="18"/>
      <w:szCs w:val="18"/>
    </w:rPr>
  </w:style>
  <w:style w:type="paragraph" w:styleId="CommentText">
    <w:name w:val="annotation text"/>
    <w:basedOn w:val="Normal"/>
    <w:link w:val="CommentTextChar"/>
    <w:uiPriority w:val="99"/>
    <w:semiHidden/>
    <w:unhideWhenUsed/>
    <w:rsid w:val="00B0187C"/>
  </w:style>
  <w:style w:type="character" w:customStyle="1" w:styleId="CommentTextChar">
    <w:name w:val="Comment Text Char"/>
    <w:basedOn w:val="DefaultParagraphFont"/>
    <w:link w:val="CommentText"/>
    <w:uiPriority w:val="99"/>
    <w:semiHidden/>
    <w:rsid w:val="00B0187C"/>
    <w:rPr>
      <w:rFonts w:eastAsiaTheme="minorEastAsia"/>
      <w:sz w:val="24"/>
      <w:szCs w:val="24"/>
      <w:lang w:eastAsia="ja-JP"/>
    </w:rPr>
  </w:style>
  <w:style w:type="paragraph" w:styleId="CommentSubject">
    <w:name w:val="annotation subject"/>
    <w:basedOn w:val="CommentText"/>
    <w:next w:val="CommentText"/>
    <w:link w:val="CommentSubjectChar"/>
    <w:uiPriority w:val="99"/>
    <w:semiHidden/>
    <w:unhideWhenUsed/>
    <w:rsid w:val="00B0187C"/>
    <w:rPr>
      <w:b/>
      <w:bCs/>
      <w:sz w:val="20"/>
      <w:szCs w:val="20"/>
    </w:rPr>
  </w:style>
  <w:style w:type="character" w:customStyle="1" w:styleId="CommentSubjectChar">
    <w:name w:val="Comment Subject Char"/>
    <w:basedOn w:val="CommentTextChar"/>
    <w:link w:val="CommentSubject"/>
    <w:uiPriority w:val="99"/>
    <w:semiHidden/>
    <w:rsid w:val="00B0187C"/>
    <w:rPr>
      <w:rFonts w:eastAsiaTheme="minorEastAsia"/>
      <w:b/>
      <w:bCs/>
      <w:sz w:val="24"/>
      <w:szCs w:val="24"/>
      <w:lang w:eastAsia="ja-JP"/>
    </w:rPr>
  </w:style>
  <w:style w:type="character" w:styleId="Hyperlink">
    <w:name w:val="Hyperlink"/>
    <w:basedOn w:val="DefaultParagraphFont"/>
    <w:uiPriority w:val="99"/>
    <w:unhideWhenUsed/>
    <w:rsid w:val="00B0187C"/>
    <w:rPr>
      <w:color w:val="0000FF" w:themeColor="hyperlink"/>
      <w:u w:val="single"/>
    </w:rPr>
  </w:style>
  <w:style w:type="table" w:styleId="TableGrid">
    <w:name w:val="Table Grid"/>
    <w:basedOn w:val="TableNormal"/>
    <w:uiPriority w:val="59"/>
    <w:rsid w:val="00B0187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1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7989">
      <w:bodyDiv w:val="1"/>
      <w:marLeft w:val="0"/>
      <w:marRight w:val="0"/>
      <w:marTop w:val="0"/>
      <w:marBottom w:val="0"/>
      <w:divBdr>
        <w:top w:val="none" w:sz="0" w:space="0" w:color="auto"/>
        <w:left w:val="none" w:sz="0" w:space="0" w:color="auto"/>
        <w:bottom w:val="none" w:sz="0" w:space="0" w:color="auto"/>
        <w:right w:val="none" w:sz="0" w:space="0" w:color="auto"/>
      </w:divBdr>
    </w:div>
    <w:div w:id="1208180442">
      <w:bodyDiv w:val="1"/>
      <w:marLeft w:val="0"/>
      <w:marRight w:val="0"/>
      <w:marTop w:val="0"/>
      <w:marBottom w:val="0"/>
      <w:divBdr>
        <w:top w:val="none" w:sz="0" w:space="0" w:color="auto"/>
        <w:left w:val="none" w:sz="0" w:space="0" w:color="auto"/>
        <w:bottom w:val="none" w:sz="0" w:space="0" w:color="auto"/>
        <w:right w:val="none" w:sz="0" w:space="0" w:color="auto"/>
      </w:divBdr>
    </w:div>
    <w:div w:id="1642687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hep.org/assets/files/publications/m-r/%28Brief%29_A_Portrait_of_Low-Income_Young_Adults_in_Education.pdf" TargetMode="External"/><Relationship Id="rId9" Type="http://schemas.openxmlformats.org/officeDocument/2006/relationships/hyperlink" Target="http://www.aacu.org/inclusive_excellence/pdfs/Milem_Final.pdf" TargetMode="External"/><Relationship Id="rId10" Type="http://schemas.openxmlformats.org/officeDocument/2006/relationships/hyperlink" Target="http://www.nerche.org/index.php?option=com_content&amp;view=article&amp;id=355&amp;Itemid=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4544</Words>
  <Characters>25905</Characters>
  <Application>Microsoft Macintosh Word</Application>
  <DocSecurity>0</DocSecurity>
  <Lines>215</Lines>
  <Paragraphs>60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Context – Diverse Students and Faculty</vt:lpstr>
      <vt:lpstr>Problem Statement</vt:lpstr>
      <vt:lpstr/>
      <vt:lpstr>Research Questions</vt:lpstr>
      <vt:lpstr/>
      <vt:lpstr>Theory of Change</vt:lpstr>
      <vt:lpstr/>
    </vt:vector>
  </TitlesOfParts>
  <Manager/>
  <Company/>
  <LinksUpToDate>false</LinksUpToDate>
  <CharactersWithSpaces>30389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 Eatman</dc:creator>
  <cp:keywords/>
  <dc:description/>
  <cp:lastModifiedBy>John Saltmarsh</cp:lastModifiedBy>
  <cp:revision>2</cp:revision>
  <cp:lastPrinted>2010-12-21T14:34:00Z</cp:lastPrinted>
  <dcterms:created xsi:type="dcterms:W3CDTF">2010-12-21T14:35:00Z</dcterms:created>
  <dcterms:modified xsi:type="dcterms:W3CDTF">2010-12-21T14:35:00Z</dcterms:modified>
  <cp:category/>
</cp:coreProperties>
</file>