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8E" w:rsidRPr="002A178E" w:rsidRDefault="002A178E" w:rsidP="002A1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 </w:t>
      </w:r>
      <w:hyperlink r:id="rId5" w:tooltip="1871" w:history="1">
        <w:r w:rsidRPr="002A17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1871</w:t>
        </w:r>
      </w:hyperlink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Edward </w:t>
      </w:r>
      <w:proofErr w:type="spellStart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>Tylor</w:t>
      </w:r>
      <w:proofErr w:type="spellEnd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pubblicò il saggio </w:t>
      </w:r>
      <w:r w:rsidRPr="002A178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Primitive Culture</w:t>
      </w:r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cui in apertura presentava la prima e più importante definizione sistematica del concetto di </w:t>
      </w:r>
      <w:hyperlink r:id="rId6" w:tooltip="Cultura" w:history="1">
        <w:r w:rsidRPr="002A17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cultura</w:t>
        </w:r>
      </w:hyperlink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>. Essa recita:</w:t>
      </w:r>
    </w:p>
    <w:tbl>
      <w:tblPr>
        <w:tblW w:w="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627"/>
        <w:gridCol w:w="9647"/>
      </w:tblGrid>
      <w:tr w:rsidR="002A178E" w:rsidRPr="002A178E" w:rsidTr="002A17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88" w:type="dxa"/>
              <w:bottom w:w="0" w:type="dxa"/>
              <w:right w:w="288" w:type="dxa"/>
            </w:tcMar>
            <w:hideMark/>
          </w:tcPr>
          <w:p w:rsidR="002A178E" w:rsidRPr="002A178E" w:rsidRDefault="002A178E" w:rsidP="002A178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8" w:type="dxa"/>
            </w:tcMar>
            <w:vAlign w:val="center"/>
            <w:hideMark/>
          </w:tcPr>
          <w:p w:rsidR="002A178E" w:rsidRPr="002A178E" w:rsidRDefault="002A178E" w:rsidP="002A178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2A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it-IT"/>
              </w:rPr>
              <w:t>«</w:t>
            </w:r>
            <w:r w:rsidRPr="002A178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it-IT"/>
              </w:rPr>
              <w:t> La cultura, o civiltà, intesa nel suo ampio senso etnografico, è quell’insieme complesso che include la conoscenza, le credenze, l’</w:t>
            </w:r>
            <w:hyperlink r:id="rId7" w:tooltip="Arte" w:history="1">
              <w:r w:rsidRPr="002A178E">
                <w:rPr>
                  <w:rFonts w:ascii="Times New Roman" w:eastAsia="Times New Roman" w:hAnsi="Times New Roman" w:cs="Times New Roman"/>
                  <w:color w:val="0000FF"/>
                  <w:sz w:val="23"/>
                  <w:u w:val="single"/>
                  <w:lang w:eastAsia="it-IT"/>
                </w:rPr>
                <w:t>arte</w:t>
              </w:r>
            </w:hyperlink>
            <w:r w:rsidRPr="002A178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it-IT"/>
              </w:rPr>
              <w:t xml:space="preserve">, la </w:t>
            </w:r>
            <w:hyperlink r:id="rId8" w:tooltip="Morale" w:history="1">
              <w:r w:rsidRPr="002A178E">
                <w:rPr>
                  <w:rFonts w:ascii="Times New Roman" w:eastAsia="Times New Roman" w:hAnsi="Times New Roman" w:cs="Times New Roman"/>
                  <w:color w:val="0000FF"/>
                  <w:sz w:val="23"/>
                  <w:u w:val="single"/>
                  <w:lang w:eastAsia="it-IT"/>
                </w:rPr>
                <w:t>morale</w:t>
              </w:r>
            </w:hyperlink>
            <w:r w:rsidRPr="002A178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it-IT"/>
              </w:rPr>
              <w:t xml:space="preserve">, il </w:t>
            </w:r>
            <w:hyperlink r:id="rId9" w:tooltip="Diritto" w:history="1">
              <w:r w:rsidRPr="002A178E">
                <w:rPr>
                  <w:rFonts w:ascii="Times New Roman" w:eastAsia="Times New Roman" w:hAnsi="Times New Roman" w:cs="Times New Roman"/>
                  <w:color w:val="0000FF"/>
                  <w:sz w:val="23"/>
                  <w:u w:val="single"/>
                  <w:lang w:eastAsia="it-IT"/>
                </w:rPr>
                <w:t>diritto</w:t>
              </w:r>
            </w:hyperlink>
            <w:r w:rsidRPr="002A178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it-IT"/>
              </w:rPr>
              <w:t xml:space="preserve">, il costume e qualsiasi altra capacità e abitudine acquisita dall’uomo come membro di una </w:t>
            </w:r>
            <w:hyperlink r:id="rId10" w:tooltip="Società" w:history="1">
              <w:r w:rsidRPr="002A178E">
                <w:rPr>
                  <w:rFonts w:ascii="Times New Roman" w:eastAsia="Times New Roman" w:hAnsi="Times New Roman" w:cs="Times New Roman"/>
                  <w:color w:val="0000FF"/>
                  <w:sz w:val="23"/>
                  <w:u w:val="single"/>
                  <w:lang w:eastAsia="it-IT"/>
                </w:rPr>
                <w:t>società</w:t>
              </w:r>
            </w:hyperlink>
            <w:r w:rsidRPr="002A178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it-IT"/>
              </w:rPr>
              <w:t>. </w:t>
            </w:r>
            <w:r w:rsidRPr="002A1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it-IT"/>
              </w:rPr>
              <w:t>»</w:t>
            </w:r>
          </w:p>
        </w:tc>
      </w:tr>
      <w:tr w:rsidR="002A178E" w:rsidRPr="002A178E" w:rsidTr="002A178E">
        <w:trPr>
          <w:tblCellSpacing w:w="15" w:type="dxa"/>
          <w:hidden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88" w:type="dxa"/>
              <w:bottom w:w="0" w:type="dxa"/>
              <w:right w:w="288" w:type="dxa"/>
            </w:tcMar>
            <w:vAlign w:val="center"/>
            <w:hideMark/>
          </w:tcPr>
          <w:p w:rsidR="002A178E" w:rsidRPr="002A178E" w:rsidRDefault="002A178E" w:rsidP="002A178E">
            <w:pPr>
              <w:spacing w:after="12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8" w:type="dxa"/>
            </w:tcMar>
            <w:vAlign w:val="center"/>
            <w:hideMark/>
          </w:tcPr>
          <w:p w:rsidR="002A178E" w:rsidRPr="002A178E" w:rsidRDefault="002A178E" w:rsidP="002A178E">
            <w:pPr>
              <w:spacing w:after="12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3"/>
                <w:szCs w:val="23"/>
                <w:lang w:eastAsia="it-IT"/>
              </w:rPr>
            </w:pPr>
          </w:p>
        </w:tc>
      </w:tr>
    </w:tbl>
    <w:p w:rsidR="002A178E" w:rsidRPr="002A178E" w:rsidRDefault="002A178E" w:rsidP="002A1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Come si nota, </w:t>
      </w:r>
      <w:proofErr w:type="spellStart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>Tylor</w:t>
      </w:r>
      <w:proofErr w:type="spellEnd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mantiene in questa definizione anche il termine </w:t>
      </w:r>
      <w:hyperlink r:id="rId11" w:tooltip="Civiltà" w:history="1">
        <w:r w:rsidRPr="002A17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civiltà</w:t>
        </w:r>
      </w:hyperlink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che spesso è usato come sinonimo di cultura e altre volte invece è usato nel suo senso specifico diverso da quello di cultura. La cultura designa per </w:t>
      </w:r>
      <w:proofErr w:type="spellStart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>Tylor</w:t>
      </w:r>
      <w:proofErr w:type="spellEnd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due fenomeni distinti:</w:t>
      </w:r>
    </w:p>
    <w:p w:rsidR="002A178E" w:rsidRPr="002A178E" w:rsidRDefault="002A178E" w:rsidP="002A1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>Cultura come soggetto storico dell’evoluzione umana;</w:t>
      </w:r>
    </w:p>
    <w:p w:rsidR="002A178E" w:rsidRPr="002A178E" w:rsidRDefault="002A178E" w:rsidP="002A1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>Cultura come particolare patrimonio collettivo di un gruppo umano.</w:t>
      </w:r>
    </w:p>
    <w:p w:rsidR="002A178E" w:rsidRPr="002A178E" w:rsidRDefault="002A178E" w:rsidP="002A1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>Tylor</w:t>
      </w:r>
      <w:proofErr w:type="spellEnd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utilizza nel testo il termine civiltà per intendere il processo di evoluzione culturale dell’umanità che ha il suo fondamento nell’idea di </w:t>
      </w:r>
      <w:hyperlink r:id="rId12" w:tooltip="Herbert Spencer" w:history="1">
        <w:r w:rsidRPr="002A17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Herbert Spencer</w:t>
        </w:r>
      </w:hyperlink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uno sviluppo unilineare dal semplice al complesso. Quando invece si discute di scenari più locali e ristretti, come quelli di una tribù o di un popolo, </w:t>
      </w:r>
      <w:proofErr w:type="spellStart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>Tylor</w:t>
      </w:r>
      <w:proofErr w:type="spellEnd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usa il termine cultura. A questo livello il riferimento non è Spencer ma </w:t>
      </w:r>
      <w:hyperlink r:id="rId13" w:tooltip="Gustav Klemm (pagina inesistente)" w:history="1">
        <w:r w:rsidRPr="002A178E">
          <w:rPr>
            <w:rFonts w:ascii="Times New Roman" w:eastAsia="Times New Roman" w:hAnsi="Times New Roman" w:cs="Times New Roman"/>
            <w:color w:val="CC2200"/>
            <w:sz w:val="24"/>
            <w:szCs w:val="24"/>
            <w:u w:val="single"/>
            <w:lang w:eastAsia="it-IT"/>
          </w:rPr>
          <w:t xml:space="preserve">Gustav </w:t>
        </w:r>
        <w:proofErr w:type="spellStart"/>
        <w:r w:rsidRPr="002A178E">
          <w:rPr>
            <w:rFonts w:ascii="Times New Roman" w:eastAsia="Times New Roman" w:hAnsi="Times New Roman" w:cs="Times New Roman"/>
            <w:color w:val="CC2200"/>
            <w:sz w:val="24"/>
            <w:szCs w:val="24"/>
            <w:u w:val="single"/>
            <w:lang w:eastAsia="it-IT"/>
          </w:rPr>
          <w:t>Klemm</w:t>
        </w:r>
        <w:proofErr w:type="spellEnd"/>
      </w:hyperlink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fu il primo a conferire al termine cultura il significato di insieme di costumi e credenze (non si dimentichi che </w:t>
      </w:r>
      <w:proofErr w:type="spellStart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>Klemm</w:t>
      </w:r>
      <w:proofErr w:type="spellEnd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era esponente del </w:t>
      </w:r>
      <w:hyperlink r:id="rId14" w:tooltip="Romanticismo" w:history="1">
        <w:r w:rsidRPr="002A17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romanticismo</w:t>
        </w:r>
      </w:hyperlink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tedesco e guardava con sospetto agli ideali illuministici insiti nel concetto di civiltà e civilizzazione). Nella definizione che </w:t>
      </w:r>
      <w:proofErr w:type="spellStart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>Tylor</w:t>
      </w:r>
      <w:proofErr w:type="spellEnd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dà di cultura, essa designa non un “dover essere” che si può rintracciare nel concetto di civiltà ma un modo di essere collettivo.</w:t>
      </w:r>
    </w:p>
    <w:p w:rsidR="002A178E" w:rsidRPr="002A178E" w:rsidRDefault="002A178E" w:rsidP="002A1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L’opposto di cultura, intesa nel senso </w:t>
      </w:r>
      <w:proofErr w:type="spellStart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>tyloriano</w:t>
      </w:r>
      <w:proofErr w:type="spellEnd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è il concetto di </w:t>
      </w:r>
      <w:hyperlink r:id="rId15" w:tooltip="Natura" w:history="1">
        <w:r w:rsidRPr="002A17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natura</w:t>
        </w:r>
      </w:hyperlink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Essa è universale perché è la base dell’uguaglianza di tutti gli uomini, uguali appunto perché condividono lo stesso patrimonio genetico e lo stesso destino biologico. Se la natura è universale, la cultura è particolare; e non a caso </w:t>
      </w:r>
      <w:proofErr w:type="spellStart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>Tylor</w:t>
      </w:r>
      <w:proofErr w:type="spellEnd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enfatizza il ruolo dei costumi e delle abitudini nella sua definizione di cultura, rispetto alla definizione illuminista di insieme di conoscenze (artistiche, filosofiche, giuridiche): l’arte, la morale, sono universali, laddove i costumi sono quanto di più particolare e locale esista. Nella sua definizione, </w:t>
      </w:r>
      <w:proofErr w:type="spellStart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>Tylor</w:t>
      </w:r>
      <w:proofErr w:type="spellEnd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pone l’accento inoltre sul termine “acquisito” che rimanda sempre al rapporto di esclusione reciproca tra natura e cultura: la cultura non si trasmette per via </w:t>
      </w:r>
      <w:hyperlink r:id="rId16" w:tooltip="Genetica" w:history="1">
        <w:r w:rsidRPr="002A17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genetica</w:t>
        </w:r>
      </w:hyperlink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non è ereditaria e tale per nascita (come per il patrimonio biologico), ma viene appresa, acquisita appunto, dagli individui nel corso della loro vita, soprattutto nelle prime fasi. Questa acquisizione è inconsapevole e si basa sull’interazione sociale, sull’imitazione e l’inferenza: in antropologia il termine che definisce questo processo è </w:t>
      </w:r>
      <w:hyperlink r:id="rId17" w:tooltip="Inculturazione" w:history="1">
        <w:r w:rsidRPr="002A17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inculturazione</w:t>
        </w:r>
      </w:hyperlink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L'antropologo </w:t>
      </w:r>
      <w:hyperlink r:id="rId18" w:tooltip="Alfred Kroeber" w:history="1">
        <w:r w:rsidRPr="002A17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Alfred </w:t>
        </w:r>
        <w:proofErr w:type="spellStart"/>
        <w:r w:rsidRPr="002A17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Kroeber</w:t>
        </w:r>
        <w:proofErr w:type="spellEnd"/>
      </w:hyperlink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esplica la differenza tra natura e cultura sulla base del concetto di </w:t>
      </w:r>
      <w:hyperlink r:id="rId19" w:tooltip="Istinto" w:history="1">
        <w:r w:rsidRPr="002A17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istinto</w:t>
        </w:r>
      </w:hyperlink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>, laddove l’istinto è qualcosa di «inciso internamente» in quanto parte del proprio corredo genetico, mentre la cultura è qualcosa che viene dal di fuori.</w:t>
      </w:r>
    </w:p>
    <w:p w:rsidR="002A178E" w:rsidRDefault="002A178E" w:rsidP="002A1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Nella sua definizione, infine, </w:t>
      </w:r>
      <w:proofErr w:type="spellStart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>Tylor</w:t>
      </w:r>
      <w:proofErr w:type="spellEnd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introduce una nozione molto importante, quella cioè di </w:t>
      </w:r>
      <w:r w:rsidRPr="002A178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insieme complesso</w:t>
      </w:r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Tutti quegli elementi citati da </w:t>
      </w:r>
      <w:proofErr w:type="spellStart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>Tylor</w:t>
      </w:r>
      <w:proofErr w:type="spellEnd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costume, arte, morale, credenze ecc. – non sono slegati gli uni dagli altri ma costituiscono una totalità organizzata tale per cui la cultura è un tutto diverso dalla somma delle parti che la compongono. Con questa definizione </w:t>
      </w:r>
      <w:proofErr w:type="spellStart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>Tylor</w:t>
      </w:r>
      <w:proofErr w:type="spellEnd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sembra voler </w:t>
      </w:r>
      <w:proofErr w:type="spellStart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>sostantivizzare</w:t>
      </w:r>
      <w:proofErr w:type="spellEnd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cultura facendone qualcosa dotato di una propria realtà empirica; non è una supposizione errata vista la vicinanza di </w:t>
      </w:r>
      <w:proofErr w:type="spellStart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>Tylor</w:t>
      </w:r>
      <w:proofErr w:type="spellEnd"/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</w:t>
      </w:r>
      <w:hyperlink r:id="rId20" w:tooltip="Positivismo" w:history="1">
        <w:r w:rsidRPr="002A17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positivismo</w:t>
        </w:r>
      </w:hyperlink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che lo porta a conferire alla “cultura” lo status di fatto sociale che </w:t>
      </w:r>
      <w:hyperlink r:id="rId21" w:tooltip="Emile Durkheim" w:history="1">
        <w:r w:rsidRPr="002A17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Emile </w:t>
        </w:r>
        <w:proofErr w:type="spellStart"/>
        <w:r w:rsidRPr="002A17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Durkheim</w:t>
        </w:r>
        <w:proofErr w:type="spellEnd"/>
      </w:hyperlink>
      <w:r w:rsidRPr="002A1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teorizzerà poco più tardi.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</w:p>
    <w:p w:rsidR="002A178E" w:rsidRPr="002A178E" w:rsidRDefault="002A178E" w:rsidP="002A1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Tratto da </w:t>
      </w:r>
      <w:hyperlink r:id="rId22" w:history="1">
        <w:r w:rsidRPr="000B0C7D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http://it.wikipedia.org/wiki/Edward_Burnett_Tylor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D28FC" w:rsidRDefault="00CD28FC"/>
    <w:sectPr w:rsidR="00CD28FC" w:rsidSect="00CD28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D4718"/>
    <w:multiLevelType w:val="multilevel"/>
    <w:tmpl w:val="EED6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2A178E"/>
    <w:rsid w:val="002A178E"/>
    <w:rsid w:val="005635E1"/>
    <w:rsid w:val="00CD2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28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A178E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A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wikipedia.org/wiki/Morale" TargetMode="External"/><Relationship Id="rId13" Type="http://schemas.openxmlformats.org/officeDocument/2006/relationships/hyperlink" Target="http://it.wikipedia.org/w/index.php?title=Gustav_Klemm&amp;action=edit&amp;redlink=1" TargetMode="External"/><Relationship Id="rId18" Type="http://schemas.openxmlformats.org/officeDocument/2006/relationships/hyperlink" Target="http://it.wikipedia.org/wiki/Alfred_Kroeb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t.wikipedia.org/wiki/Emile_Durkheim" TargetMode="External"/><Relationship Id="rId7" Type="http://schemas.openxmlformats.org/officeDocument/2006/relationships/hyperlink" Target="http://it.wikipedia.org/wiki/Arte" TargetMode="External"/><Relationship Id="rId12" Type="http://schemas.openxmlformats.org/officeDocument/2006/relationships/hyperlink" Target="http://it.wikipedia.org/wiki/Herbert_Spencer" TargetMode="External"/><Relationship Id="rId17" Type="http://schemas.openxmlformats.org/officeDocument/2006/relationships/hyperlink" Target="http://it.wikipedia.org/wiki/Inculturazione" TargetMode="External"/><Relationship Id="rId2" Type="http://schemas.openxmlformats.org/officeDocument/2006/relationships/styles" Target="styles.xml"/><Relationship Id="rId16" Type="http://schemas.openxmlformats.org/officeDocument/2006/relationships/hyperlink" Target="http://it.wikipedia.org/wiki/Genetica" TargetMode="External"/><Relationship Id="rId20" Type="http://schemas.openxmlformats.org/officeDocument/2006/relationships/hyperlink" Target="http://it.wikipedia.org/wiki/Positivism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t.wikipedia.org/wiki/Cultura" TargetMode="External"/><Relationship Id="rId11" Type="http://schemas.openxmlformats.org/officeDocument/2006/relationships/hyperlink" Target="http://it.wikipedia.org/wiki/Civilt%C3%A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it.wikipedia.org/wiki/1871" TargetMode="External"/><Relationship Id="rId15" Type="http://schemas.openxmlformats.org/officeDocument/2006/relationships/hyperlink" Target="http://it.wikipedia.org/wiki/Natur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t.wikipedia.org/wiki/Societ%C3%A0" TargetMode="External"/><Relationship Id="rId19" Type="http://schemas.openxmlformats.org/officeDocument/2006/relationships/hyperlink" Target="http://it.wikipedia.org/wiki/Istin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t.wikipedia.org/wiki/Diritto" TargetMode="External"/><Relationship Id="rId14" Type="http://schemas.openxmlformats.org/officeDocument/2006/relationships/hyperlink" Target="http://it.wikipedia.org/wiki/Romanticismo" TargetMode="External"/><Relationship Id="rId22" Type="http://schemas.openxmlformats.org/officeDocument/2006/relationships/hyperlink" Target="http://it.wikipedia.org/wiki/Edward_Burnett_Tylo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2010-10-28T21:11:00Z</dcterms:created>
  <dcterms:modified xsi:type="dcterms:W3CDTF">2010-10-28T21:12:00Z</dcterms:modified>
</cp:coreProperties>
</file>