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3D" w:rsidRPr="00AF10BD" w:rsidRDefault="00117F57" w:rsidP="00117F57">
      <w:pPr>
        <w:pStyle w:val="NoSpacing"/>
        <w:rPr>
          <w:b/>
        </w:rPr>
      </w:pPr>
      <w:r w:rsidRPr="00AF10BD">
        <w:rPr>
          <w:b/>
        </w:rPr>
        <w:t xml:space="preserve">Construct: Undergraduate </w:t>
      </w:r>
      <w:r w:rsidR="00870956">
        <w:rPr>
          <w:b/>
        </w:rPr>
        <w:t xml:space="preserve">experience </w:t>
      </w:r>
    </w:p>
    <w:p w:rsidR="00117F57" w:rsidRPr="00AF10BD" w:rsidRDefault="00117F57" w:rsidP="00117F57">
      <w:pPr>
        <w:pStyle w:val="NoSpacing"/>
        <w:rPr>
          <w:b/>
        </w:rPr>
      </w:pPr>
      <w:r w:rsidRPr="00AF10BD">
        <w:rPr>
          <w:b/>
        </w:rPr>
        <w:t>Code: SERVLRN</w:t>
      </w:r>
    </w:p>
    <w:p w:rsidR="00117F57" w:rsidRPr="00AF10BD" w:rsidRDefault="00117F57" w:rsidP="00117F57">
      <w:pPr>
        <w:pStyle w:val="NoSpacing"/>
        <w:rPr>
          <w:b/>
        </w:rPr>
      </w:pPr>
      <w:r w:rsidRPr="00AF10BD">
        <w:rPr>
          <w:b/>
        </w:rPr>
        <w:t xml:space="preserve">Question 4: How many academic course credit-bearing courses during your undergraduate experience included a community-based project (e.g., service-learning)? </w:t>
      </w:r>
    </w:p>
    <w:p w:rsidR="00117F57" w:rsidRDefault="00117F57" w:rsidP="00117F57">
      <w:pPr>
        <w:pStyle w:val="NoSpacing"/>
      </w:pPr>
    </w:p>
    <w:p w:rsidR="00117F57" w:rsidRDefault="00117F57" w:rsidP="00117F57">
      <w:pPr>
        <w:pStyle w:val="NoSpacing"/>
        <w:ind w:firstLine="720"/>
      </w:pPr>
      <w:r>
        <w:t>Since the majority (58.94%) of our respondents were not enrolled in a service learning class during their undergraduate career</w:t>
      </w:r>
      <w:r w:rsidR="00C83A3D">
        <w:t>s</w:t>
      </w:r>
      <w:r>
        <w:t xml:space="preserve"> we can assume that experiences </w:t>
      </w:r>
      <w:r w:rsidR="00C83A3D">
        <w:t>combining</w:t>
      </w:r>
      <w:r>
        <w:t xml:space="preserve"> academics and service were not significant to developing their PES identity</w:t>
      </w:r>
      <w:r w:rsidR="008205F4">
        <w:t xml:space="preserve"> during </w:t>
      </w:r>
      <w:r w:rsidR="00C83A3D">
        <w:t>undergrad</w:t>
      </w:r>
      <w:r>
        <w:t xml:space="preserve">. </w:t>
      </w:r>
      <w:r w:rsidR="00F55701">
        <w:t xml:space="preserve">(No “Other” option) </w:t>
      </w:r>
    </w:p>
    <w:p w:rsidR="00117F57" w:rsidRDefault="00117F57" w:rsidP="00117F57">
      <w:pPr>
        <w:pStyle w:val="NoSpacing"/>
      </w:pPr>
    </w:p>
    <w:p w:rsidR="00117F57" w:rsidRPr="00AF10BD" w:rsidRDefault="00117F57" w:rsidP="00117F57">
      <w:pPr>
        <w:pStyle w:val="NoSpacing"/>
        <w:rPr>
          <w:b/>
        </w:rPr>
      </w:pPr>
      <w:r w:rsidRPr="00AF10BD">
        <w:rPr>
          <w:b/>
        </w:rPr>
        <w:t xml:space="preserve">Construct: Undergraduate </w:t>
      </w:r>
      <w:r w:rsidR="00870956">
        <w:rPr>
          <w:b/>
        </w:rPr>
        <w:t xml:space="preserve">experience </w:t>
      </w:r>
    </w:p>
    <w:p w:rsidR="00117F57" w:rsidRPr="00AF10BD" w:rsidRDefault="00117F57" w:rsidP="00117F57">
      <w:pPr>
        <w:pStyle w:val="NoSpacing"/>
        <w:rPr>
          <w:b/>
        </w:rPr>
      </w:pPr>
      <w:r w:rsidRPr="00AF10BD">
        <w:rPr>
          <w:b/>
        </w:rPr>
        <w:t xml:space="preserve">Code: UNDGRAD </w:t>
      </w:r>
    </w:p>
    <w:p w:rsidR="00117F57" w:rsidRPr="00AF10BD" w:rsidRDefault="00117F57" w:rsidP="00117F57">
      <w:pPr>
        <w:pStyle w:val="NoSpacing"/>
        <w:rPr>
          <w:b/>
        </w:rPr>
      </w:pPr>
      <w:r w:rsidRPr="00AF10BD">
        <w:rPr>
          <w:b/>
        </w:rPr>
        <w:t xml:space="preserve">Questions 49: Since graduating from high school, which of the following types of schools did you attend for your undergraduate education? (Select all that apply). </w:t>
      </w:r>
    </w:p>
    <w:p w:rsidR="00117F57" w:rsidRDefault="00117F57" w:rsidP="00117F57">
      <w:pPr>
        <w:pStyle w:val="NoSpacing"/>
      </w:pPr>
    </w:p>
    <w:p w:rsidR="008205F4" w:rsidRDefault="008205F4" w:rsidP="00117F57">
      <w:pPr>
        <w:pStyle w:val="NoSpacing"/>
      </w:pPr>
      <w:r>
        <w:t xml:space="preserve">“Other” code: </w:t>
      </w:r>
      <w:r w:rsidR="009B767B">
        <w:t>SPECINT</w:t>
      </w:r>
      <w:r>
        <w:t xml:space="preserve"> for specific interest</w:t>
      </w:r>
    </w:p>
    <w:p w:rsidR="008205F4" w:rsidRDefault="00117F57" w:rsidP="00117F57">
      <w:pPr>
        <w:pStyle w:val="NoSpacing"/>
      </w:pPr>
      <w:r>
        <w:tab/>
        <w:t xml:space="preserve">This question did have an “other” option for an answer. </w:t>
      </w:r>
      <w:proofErr w:type="gramStart"/>
      <w:r w:rsidR="00F55701">
        <w:t>Some of the</w:t>
      </w:r>
      <w:r>
        <w:t xml:space="preserve"> respondents who chose “</w:t>
      </w:r>
      <w:r w:rsidR="00F55701">
        <w:t>O</w:t>
      </w:r>
      <w:r>
        <w:t>ther”</w:t>
      </w:r>
      <w:r w:rsidR="006950D8">
        <w:t xml:space="preserve"> </w:t>
      </w:r>
      <w:r>
        <w:t>referenced field specific programs such as women’</w:t>
      </w:r>
      <w:r w:rsidR="00F55701">
        <w:t>s health, dance</w:t>
      </w:r>
      <w:r>
        <w:t>, and institutions that offered COOPs.</w:t>
      </w:r>
      <w:proofErr w:type="gramEnd"/>
      <w:r>
        <w:t xml:space="preserve"> </w:t>
      </w:r>
      <w:r w:rsidR="008205F4">
        <w:t xml:space="preserve">Others shared that they chose cultural specific universities or foreign universities. </w:t>
      </w:r>
      <w:r>
        <w:t xml:space="preserve">From this information we can gather that PES </w:t>
      </w:r>
      <w:proofErr w:type="gramStart"/>
      <w:r>
        <w:t>are</w:t>
      </w:r>
      <w:proofErr w:type="gramEnd"/>
      <w:r>
        <w:t xml:space="preserve"> drawn to fields that are hands-on, </w:t>
      </w:r>
      <w:r w:rsidR="00C83A3D">
        <w:t>similar to</w:t>
      </w:r>
      <w:r>
        <w:t xml:space="preserve"> public engagement. </w:t>
      </w:r>
      <w:r w:rsidR="008205F4">
        <w:t xml:space="preserve">It also suggests that PES </w:t>
      </w:r>
      <w:proofErr w:type="gramStart"/>
      <w:r w:rsidR="008205F4">
        <w:t>are</w:t>
      </w:r>
      <w:proofErr w:type="gramEnd"/>
      <w:r w:rsidR="008205F4">
        <w:t xml:space="preserve"> drawn to institutions th</w:t>
      </w:r>
      <w:r w:rsidR="003879C5">
        <w:t>at share a similar culture</w:t>
      </w:r>
      <w:r w:rsidR="008205F4">
        <w:t xml:space="preserve">. </w:t>
      </w:r>
      <w:r w:rsidR="00F55701">
        <w:t>We can assume that these respondents</w:t>
      </w:r>
      <w:r>
        <w:t xml:space="preserve"> were searching for </w:t>
      </w:r>
      <w:r w:rsidR="00F55701">
        <w:t xml:space="preserve">undergraduate experiences that offered more </w:t>
      </w:r>
      <w:r w:rsidR="009B767B">
        <w:t>theory to practice opportunities in the community</w:t>
      </w:r>
      <w:r w:rsidR="00F55701">
        <w:t xml:space="preserve">, and referring to the survey results from question 4 most </w:t>
      </w:r>
      <w:r w:rsidR="003879C5">
        <w:t>undergraduates</w:t>
      </w:r>
      <w:r w:rsidR="00F55701">
        <w:t xml:space="preserve"> </w:t>
      </w:r>
      <w:r w:rsidR="003879C5">
        <w:t xml:space="preserve">at traditional universities </w:t>
      </w:r>
      <w:r w:rsidR="00F55701">
        <w:t xml:space="preserve">were not offered service-learning opportunities. </w:t>
      </w:r>
    </w:p>
    <w:p w:rsidR="00036C35" w:rsidRDefault="00036C35" w:rsidP="00117F57">
      <w:pPr>
        <w:pStyle w:val="NoSpacing"/>
      </w:pPr>
    </w:p>
    <w:p w:rsidR="00982C67" w:rsidRDefault="00982C67" w:rsidP="00117F57">
      <w:pPr>
        <w:pStyle w:val="NoSpacing"/>
      </w:pPr>
    </w:p>
    <w:p w:rsidR="00982C67" w:rsidRDefault="00982C67" w:rsidP="00982C67">
      <w:pPr>
        <w:pStyle w:val="NoSpacing"/>
      </w:pPr>
    </w:p>
    <w:p w:rsidR="00982C67" w:rsidRDefault="00982C67" w:rsidP="00117F57">
      <w:pPr>
        <w:pStyle w:val="NoSpacing"/>
      </w:pPr>
      <w:r>
        <w:t xml:space="preserve">This article offers suggestions on how to secure service learning opportunities at liberal arts colleges: 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6"/>
        <w:gridCol w:w="8704"/>
      </w:tblGrid>
      <w:tr w:rsidR="00982C67" w:rsidRPr="00982C67">
        <w:trPr>
          <w:tblCellSpacing w:w="15" w:type="dxa"/>
        </w:trPr>
        <w:tc>
          <w:tcPr>
            <w:tcW w:w="0" w:type="auto"/>
            <w:vAlign w:val="bottom"/>
            <w:hideMark/>
          </w:tcPr>
          <w:p w:rsidR="00982C67" w:rsidRPr="00982C67" w:rsidRDefault="00982C67" w:rsidP="00982C67">
            <w:pPr>
              <w:spacing w:after="0" w:line="240" w:lineRule="auto"/>
              <w:rPr>
                <w:rFonts w:eastAsia="Times New Roman" w:cs="Tahoma"/>
              </w:rPr>
            </w:pPr>
            <w:r w:rsidRPr="00982C67">
              <w:rPr>
                <w:rFonts w:eastAsia="Times New Roman" w:cs="Tahoma"/>
              </w:rPr>
              <w:t>Title:</w:t>
            </w:r>
          </w:p>
        </w:tc>
        <w:tc>
          <w:tcPr>
            <w:tcW w:w="0" w:type="auto"/>
            <w:vAlign w:val="bottom"/>
            <w:hideMark/>
          </w:tcPr>
          <w:p w:rsidR="00982C67" w:rsidRPr="00982C67" w:rsidRDefault="00982C67" w:rsidP="00982C67">
            <w:pPr>
              <w:spacing w:after="0" w:line="240" w:lineRule="auto"/>
              <w:rPr>
                <w:rFonts w:eastAsia="Times New Roman" w:cs="Tahoma"/>
              </w:rPr>
            </w:pPr>
            <w:r w:rsidRPr="00982C67">
              <w:rPr>
                <w:rFonts w:eastAsia="Times New Roman" w:cs="Tahoma"/>
              </w:rPr>
              <w:t>10 Humanistic Learning and Service-Learning at the Liberal Arts College - Faculty at liberal arts colleges can take advantage of their institution's mission in order to promote service-learning.</w:t>
            </w:r>
          </w:p>
        </w:tc>
      </w:tr>
      <w:tr w:rsidR="00982C67" w:rsidRPr="00982C67">
        <w:trPr>
          <w:tblCellSpacing w:w="15" w:type="dxa"/>
        </w:trPr>
        <w:tc>
          <w:tcPr>
            <w:tcW w:w="0" w:type="auto"/>
            <w:vAlign w:val="bottom"/>
            <w:hideMark/>
          </w:tcPr>
          <w:p w:rsidR="00982C67" w:rsidRPr="00982C67" w:rsidRDefault="00982C67" w:rsidP="00982C67">
            <w:pPr>
              <w:spacing w:after="0" w:line="240" w:lineRule="auto"/>
              <w:rPr>
                <w:rFonts w:eastAsia="Times New Roman" w:cs="Tahoma"/>
              </w:rPr>
            </w:pPr>
            <w:r w:rsidRPr="00982C67">
              <w:rPr>
                <w:rFonts w:eastAsia="Times New Roman" w:cs="Tahoma"/>
              </w:rPr>
              <w:t>Source:</w:t>
            </w:r>
          </w:p>
        </w:tc>
        <w:tc>
          <w:tcPr>
            <w:tcW w:w="0" w:type="auto"/>
            <w:vAlign w:val="bottom"/>
            <w:hideMark/>
          </w:tcPr>
          <w:p w:rsidR="00982C67" w:rsidRPr="00982C67" w:rsidRDefault="00982C67" w:rsidP="00982C67">
            <w:pPr>
              <w:spacing w:after="0" w:line="240" w:lineRule="auto"/>
              <w:rPr>
                <w:rFonts w:eastAsia="Times New Roman" w:cs="Tahoma"/>
              </w:rPr>
            </w:pPr>
            <w:r w:rsidRPr="00982C67">
              <w:rPr>
                <w:rFonts w:eastAsia="Times New Roman" w:cs="Tahoma"/>
              </w:rPr>
              <w:t xml:space="preserve">New directions for higher education [0271-0560] </w:t>
            </w:r>
            <w:proofErr w:type="spellStart"/>
            <w:r w:rsidRPr="00982C67">
              <w:rPr>
                <w:rFonts w:eastAsia="Times New Roman" w:cs="Tahoma"/>
              </w:rPr>
              <w:t>Zlotkowski</w:t>
            </w:r>
            <w:proofErr w:type="spellEnd"/>
            <w:r w:rsidRPr="00982C67">
              <w:rPr>
                <w:rFonts w:eastAsia="Times New Roman" w:cs="Tahoma"/>
              </w:rPr>
              <w:t xml:space="preserve"> yr:2001 iss:114 pg:89 </w:t>
            </w:r>
          </w:p>
        </w:tc>
      </w:tr>
    </w:tbl>
    <w:p w:rsidR="00036C35" w:rsidRDefault="00036C35" w:rsidP="00117F57">
      <w:pPr>
        <w:pStyle w:val="NoSpacing"/>
      </w:pPr>
    </w:p>
    <w:p w:rsidR="00036C35" w:rsidRDefault="00036C35" w:rsidP="00117F57">
      <w:pPr>
        <w:pStyle w:val="NoSpacing"/>
      </w:pPr>
    </w:p>
    <w:p w:rsidR="00F55701" w:rsidRDefault="001C41EC" w:rsidP="00117F57">
      <w:pPr>
        <w:pStyle w:val="NoSpacing"/>
      </w:pPr>
      <w:r>
        <w:t xml:space="preserve">This article highlights challenges faculty face at teaching institutions regarding service learning: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10"/>
      </w:tblGrid>
      <w:tr w:rsidR="001C41EC" w:rsidRPr="001C41EC" w:rsidTr="001C41EC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1C41EC" w:rsidRPr="001C41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776"/>
                    <w:gridCol w:w="8584"/>
                  </w:tblGrid>
                  <w:tr w:rsidR="001C41EC" w:rsidRPr="001C41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1C41EC" w:rsidRPr="001C41EC" w:rsidRDefault="001C41EC" w:rsidP="001C41EC">
                        <w:pPr>
                          <w:spacing w:after="0" w:line="240" w:lineRule="auto"/>
                          <w:rPr>
                            <w:rFonts w:eastAsia="Times New Roman" w:cs="Tahoma"/>
                          </w:rPr>
                        </w:pPr>
                        <w:r w:rsidRPr="001C41EC">
                          <w:rPr>
                            <w:rFonts w:eastAsia="Times New Roman" w:cs="Tahoma"/>
                          </w:rPr>
                          <w:t>Title: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1C41EC" w:rsidRPr="001C41EC" w:rsidRDefault="001C41EC" w:rsidP="001C41EC">
                        <w:pPr>
                          <w:spacing w:after="0" w:line="240" w:lineRule="auto"/>
                          <w:rPr>
                            <w:rFonts w:eastAsia="Times New Roman" w:cs="Tahoma"/>
                          </w:rPr>
                        </w:pPr>
                        <w:r w:rsidRPr="001C41EC">
                          <w:rPr>
                            <w:rFonts w:eastAsia="Times New Roman" w:cs="Tahoma"/>
                          </w:rPr>
                          <w:t>9 How Professors Can Promote Service-Learning in a Teaching Institution - Although a college devoted to teaching seems the ideal place to promote service-learning, faculty at such institutions should actively seek key stakeholders' support to ensure that service-learning thrives.</w:t>
                        </w:r>
                      </w:p>
                    </w:tc>
                  </w:tr>
                  <w:tr w:rsidR="001C41EC" w:rsidRPr="001C41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1C41EC" w:rsidRPr="001C41EC" w:rsidRDefault="001C41EC" w:rsidP="001C41EC">
                        <w:pPr>
                          <w:spacing w:after="0" w:line="240" w:lineRule="auto"/>
                          <w:rPr>
                            <w:rFonts w:eastAsia="Times New Roman" w:cs="Tahoma"/>
                          </w:rPr>
                        </w:pPr>
                        <w:r w:rsidRPr="001C41EC">
                          <w:rPr>
                            <w:rFonts w:eastAsia="Times New Roman" w:cs="Tahoma"/>
                          </w:rPr>
                          <w:t>Source: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EF1467" w:rsidRPr="001C41EC" w:rsidRDefault="001C41EC" w:rsidP="001C41EC">
                        <w:pPr>
                          <w:spacing w:after="0" w:line="240" w:lineRule="auto"/>
                          <w:rPr>
                            <w:rFonts w:eastAsia="Times New Roman" w:cs="Tahoma"/>
                          </w:rPr>
                        </w:pPr>
                        <w:r w:rsidRPr="001C41EC">
                          <w:rPr>
                            <w:rFonts w:eastAsia="Times New Roman" w:cs="Tahoma"/>
                          </w:rPr>
                          <w:t xml:space="preserve">New directions for higher education [0271-0560] O'Byrne yr:2001 iss:114 pg:79 </w:t>
                        </w:r>
                      </w:p>
                    </w:tc>
                  </w:tr>
                </w:tbl>
                <w:p w:rsidR="00EF1467" w:rsidRPr="001C41EC" w:rsidRDefault="00EF1467" w:rsidP="001C41E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36363"/>
                      <w:sz w:val="17"/>
                      <w:szCs w:val="17"/>
                    </w:rPr>
                  </w:pPr>
                </w:p>
              </w:tc>
            </w:tr>
          </w:tbl>
          <w:p w:rsidR="001C41EC" w:rsidRPr="001C41EC" w:rsidRDefault="001C41EC" w:rsidP="001C41EC">
            <w:pPr>
              <w:spacing w:after="0" w:line="240" w:lineRule="auto"/>
              <w:rPr>
                <w:rFonts w:ascii="Tahoma" w:eastAsia="Times New Roman" w:hAnsi="Tahoma" w:cs="Tahoma"/>
                <w:color w:val="636363"/>
                <w:sz w:val="17"/>
                <w:szCs w:val="17"/>
              </w:rPr>
            </w:pPr>
          </w:p>
        </w:tc>
      </w:tr>
    </w:tbl>
    <w:p w:rsidR="004B6333" w:rsidRDefault="004B6333" w:rsidP="00117F57">
      <w:pPr>
        <w:pStyle w:val="NoSpacing"/>
      </w:pPr>
    </w:p>
    <w:p w:rsidR="001C41EC" w:rsidRDefault="004B6333" w:rsidP="00117F57">
      <w:pPr>
        <w:pStyle w:val="NoSpacing"/>
      </w:pPr>
      <w:r>
        <w:t>***</w:t>
      </w:r>
      <w:r w:rsidR="00423B4B">
        <w:t xml:space="preserve">Articles are in the </w:t>
      </w:r>
      <w:proofErr w:type="spellStart"/>
      <w:r w:rsidR="00423B4B">
        <w:t>dropbox</w:t>
      </w:r>
      <w:proofErr w:type="spellEnd"/>
      <w:r w:rsidR="00423B4B">
        <w:t xml:space="preserve">. </w:t>
      </w:r>
    </w:p>
    <w:p w:rsidR="004B6333" w:rsidRDefault="004B6333" w:rsidP="00117F57">
      <w:pPr>
        <w:pStyle w:val="NoSpacing"/>
      </w:pPr>
    </w:p>
    <w:sectPr w:rsidR="004B6333" w:rsidSect="00575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F57"/>
    <w:rsid w:val="00036C35"/>
    <w:rsid w:val="00117F57"/>
    <w:rsid w:val="001C41EC"/>
    <w:rsid w:val="003879C5"/>
    <w:rsid w:val="00423B4B"/>
    <w:rsid w:val="004B6333"/>
    <w:rsid w:val="00575C3D"/>
    <w:rsid w:val="00652F4C"/>
    <w:rsid w:val="006950D8"/>
    <w:rsid w:val="008205F4"/>
    <w:rsid w:val="008412E1"/>
    <w:rsid w:val="00870956"/>
    <w:rsid w:val="00982C67"/>
    <w:rsid w:val="009B767B"/>
    <w:rsid w:val="00AF10BD"/>
    <w:rsid w:val="00C83A3D"/>
    <w:rsid w:val="00E71D7A"/>
    <w:rsid w:val="00EF1467"/>
    <w:rsid w:val="00F55701"/>
    <w:rsid w:val="00F8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F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amanda johnson</cp:lastModifiedBy>
  <cp:revision>9</cp:revision>
  <dcterms:created xsi:type="dcterms:W3CDTF">2010-06-27T19:56:00Z</dcterms:created>
  <dcterms:modified xsi:type="dcterms:W3CDTF">2010-06-30T00:07:00Z</dcterms:modified>
</cp:coreProperties>
</file>