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E5" w:rsidRPr="00D005E5" w:rsidRDefault="00D005E5" w:rsidP="00D005E5">
      <w:pPr>
        <w:pStyle w:val="NormalWeb"/>
        <w:rPr>
          <w:rFonts w:ascii="Algerian" w:hAnsi="Algerian"/>
        </w:rPr>
      </w:pPr>
      <w:r>
        <w:rPr>
          <w:rFonts w:ascii="Verdana" w:hAnsi="Verdana"/>
          <w:b/>
          <w:bCs/>
          <w:color w:val="339900"/>
          <w:sz w:val="20"/>
          <w:szCs w:val="20"/>
        </w:rPr>
        <w:t xml:space="preserve"> </w:t>
      </w:r>
      <w:r w:rsidRPr="00D005E5">
        <w:rPr>
          <w:rFonts w:ascii="Algerian" w:hAnsi="Algerian"/>
          <w:b/>
          <w:bCs/>
          <w:color w:val="339900"/>
          <w:sz w:val="20"/>
          <w:szCs w:val="20"/>
        </w:rPr>
        <w:t>Ácidos nucleicos</w:t>
      </w:r>
    </w:p>
    <w:p w:rsidR="00D005E5" w:rsidRPr="00D005E5" w:rsidRDefault="00D005E5" w:rsidP="00D005E5">
      <w:pPr>
        <w:pStyle w:val="NormalWeb"/>
        <w:rPr>
          <w:rFonts w:ascii="Comic Sans MS" w:hAnsi="Comic Sans MS"/>
          <w:color w:val="9966FF"/>
        </w:rPr>
      </w:pPr>
      <w:r w:rsidRPr="00D005E5">
        <w:rPr>
          <w:rFonts w:ascii="Comic Sans MS" w:hAnsi="Comic Sans MS"/>
          <w:color w:val="9966FF"/>
          <w:sz w:val="20"/>
          <w:szCs w:val="20"/>
        </w:rPr>
        <w:t xml:space="preserve">desoxiribonucleicos (ADN) que se encuentran residiendo en el núcleo celular y algunos organelos, y en ácidos ribonucleicos (ARN) que actúan en el citoplasma. Se conoce con considerable detalle la estructura y función de los dos tipos de ácidos. </w:t>
      </w:r>
    </w:p>
    <w:p w:rsidR="00D005E5" w:rsidRPr="00D005E5" w:rsidRDefault="00D005E5" w:rsidP="00D005E5">
      <w:pPr>
        <w:pStyle w:val="NormalWeb"/>
        <w:rPr>
          <w:rFonts w:ascii="Comic Sans MS" w:hAnsi="Comic Sans MS"/>
          <w:color w:val="9966FF"/>
        </w:rPr>
      </w:pPr>
      <w:r w:rsidRPr="00D005E5">
        <w:rPr>
          <w:rFonts w:ascii="Comic Sans MS" w:hAnsi="Comic Sans MS"/>
          <w:b/>
          <w:bCs/>
          <w:color w:val="9966FF"/>
          <w:sz w:val="20"/>
          <w:szCs w:val="20"/>
        </w:rPr>
        <w:t>Estructura. El conocimiento de la estructura de los ácidos nucleicos permitió la elucidación del código genético, la determinación del mecanismo y control de la síntesis de las proteínas y el mecanismo de transmisión de la información genética de la célula madre a las células hijas.</w:t>
      </w:r>
      <w:r w:rsidRPr="00D005E5">
        <w:rPr>
          <w:rFonts w:ascii="Comic Sans MS" w:hAnsi="Comic Sans MS"/>
          <w:color w:val="9966FF"/>
          <w:sz w:val="20"/>
          <w:szCs w:val="20"/>
        </w:rPr>
        <w:t xml:space="preserve"> </w:t>
      </w:r>
    </w:p>
    <w:p w:rsidR="00D005E5" w:rsidRPr="00D005E5" w:rsidRDefault="00D005E5" w:rsidP="00D005E5">
      <w:pPr>
        <w:pStyle w:val="NormalWeb"/>
        <w:rPr>
          <w:rFonts w:ascii="Comic Sans MS" w:hAnsi="Comic Sans MS"/>
          <w:color w:val="9966FF"/>
        </w:rPr>
      </w:pPr>
      <w:r w:rsidRPr="00D005E5">
        <w:rPr>
          <w:rFonts w:ascii="Comic Sans MS" w:hAnsi="Comic Sans MS"/>
          <w:color w:val="9966FF"/>
          <w:sz w:val="20"/>
          <w:szCs w:val="20"/>
        </w:rPr>
        <w:t xml:space="preserve">A las unidades químicas que se unen para formar los ácidos nucleicos se les denomina </w:t>
      </w:r>
      <w:r w:rsidRPr="00D005E5">
        <w:rPr>
          <w:rFonts w:ascii="Comic Sans MS" w:hAnsi="Comic Sans MS"/>
          <w:b/>
          <w:bCs/>
          <w:color w:val="9966FF"/>
          <w:sz w:val="20"/>
          <w:szCs w:val="20"/>
        </w:rPr>
        <w:t>nucleótidos</w:t>
      </w:r>
      <w:r w:rsidRPr="00D005E5">
        <w:rPr>
          <w:rFonts w:ascii="Comic Sans MS" w:hAnsi="Comic Sans MS"/>
          <w:color w:val="9966FF"/>
          <w:sz w:val="20"/>
          <w:szCs w:val="20"/>
        </w:rPr>
        <w:t xml:space="preserve"> y al polímero se le denomina De acuerdo a la composición química, los ácidos nucleicos se clasifican en ácidos </w:t>
      </w:r>
      <w:r w:rsidRPr="00D005E5">
        <w:rPr>
          <w:rFonts w:ascii="Comic Sans MS" w:hAnsi="Comic Sans MS"/>
          <w:b/>
          <w:bCs/>
          <w:color w:val="9966FF"/>
          <w:sz w:val="20"/>
          <w:szCs w:val="20"/>
        </w:rPr>
        <w:t>polinucleótido</w:t>
      </w:r>
      <w:r w:rsidRPr="00D005E5">
        <w:rPr>
          <w:rFonts w:ascii="Comic Sans MS" w:hAnsi="Comic Sans MS"/>
          <w:color w:val="9966FF"/>
          <w:sz w:val="20"/>
          <w:szCs w:val="20"/>
        </w:rPr>
        <w:t xml:space="preserve"> o ácido nucleico. </w:t>
      </w:r>
    </w:p>
    <w:p w:rsidR="00D005E5" w:rsidRPr="00D005E5" w:rsidRDefault="00D005E5" w:rsidP="00D005E5">
      <w:pPr>
        <w:pStyle w:val="NormalWeb"/>
        <w:rPr>
          <w:rFonts w:ascii="Comic Sans MS" w:hAnsi="Comic Sans MS"/>
          <w:color w:val="9966FF"/>
        </w:rPr>
      </w:pPr>
      <w:r w:rsidRPr="00D005E5">
        <w:rPr>
          <w:rFonts w:ascii="Comic Sans MS" w:hAnsi="Comic Sans MS"/>
          <w:color w:val="9966FF"/>
          <w:sz w:val="20"/>
          <w:szCs w:val="20"/>
        </w:rPr>
        <w:t xml:space="preserve">Los </w:t>
      </w:r>
      <w:r w:rsidRPr="00D005E5">
        <w:rPr>
          <w:rFonts w:ascii="Comic Sans MS" w:hAnsi="Comic Sans MS"/>
          <w:b/>
          <w:bCs/>
          <w:color w:val="9966FF"/>
          <w:sz w:val="20"/>
          <w:szCs w:val="20"/>
        </w:rPr>
        <w:t>nucleótidos están formados por una base nitrogenada, un grupo fosfato y un azúcar</w:t>
      </w:r>
      <w:r w:rsidRPr="00D005E5">
        <w:rPr>
          <w:rFonts w:ascii="Comic Sans MS" w:hAnsi="Comic Sans MS"/>
          <w:color w:val="9966FF"/>
          <w:sz w:val="20"/>
          <w:szCs w:val="20"/>
        </w:rPr>
        <w:t xml:space="preserve">; ribosa en caso de ARN y desoxiribosa en el caso de ADN. </w:t>
      </w:r>
    </w:p>
    <w:p w:rsidR="00D005E5" w:rsidRPr="00D005E5" w:rsidRDefault="00D005E5" w:rsidP="00D005E5">
      <w:pPr>
        <w:pStyle w:val="NormalWeb"/>
        <w:rPr>
          <w:rFonts w:ascii="Comic Sans MS" w:hAnsi="Comic Sans MS"/>
          <w:color w:val="9966FF"/>
        </w:rPr>
      </w:pPr>
      <w:r w:rsidRPr="00D005E5">
        <w:rPr>
          <w:rFonts w:ascii="Comic Sans MS" w:hAnsi="Comic Sans MS"/>
          <w:b/>
          <w:bCs/>
          <w:color w:val="9966FF"/>
          <w:sz w:val="20"/>
          <w:szCs w:val="20"/>
        </w:rPr>
        <w:t>Las bases nitrogenadas son las que contienen la información genética y los azúcares y los fosfatos tienen una función estructural</w:t>
      </w:r>
      <w:r w:rsidRPr="00D005E5">
        <w:rPr>
          <w:rFonts w:ascii="Comic Sans MS" w:hAnsi="Comic Sans MS"/>
          <w:color w:val="9966FF"/>
          <w:sz w:val="20"/>
          <w:szCs w:val="20"/>
        </w:rPr>
        <w:t xml:space="preserve"> formando el esqueleto del polinucleótido. </w:t>
      </w:r>
    </w:p>
    <w:p w:rsidR="00D005E5" w:rsidRPr="00D005E5" w:rsidRDefault="00D005E5" w:rsidP="00D005E5">
      <w:pPr>
        <w:pStyle w:val="NormalWeb"/>
        <w:rPr>
          <w:rFonts w:ascii="Comic Sans MS" w:hAnsi="Comic Sans MS"/>
          <w:color w:val="9966FF"/>
        </w:rPr>
      </w:pPr>
      <w:r w:rsidRPr="00D005E5">
        <w:rPr>
          <w:rFonts w:ascii="Comic Sans MS" w:hAnsi="Comic Sans MS"/>
          <w:color w:val="9966FF"/>
          <w:sz w:val="20"/>
          <w:szCs w:val="20"/>
        </w:rPr>
        <w:t>En el caso del ADN las bases son dos purinas y dos pirimidinas. Las purinas son A (</w:t>
      </w:r>
      <w:r w:rsidRPr="00D005E5">
        <w:rPr>
          <w:rFonts w:ascii="Comic Sans MS" w:hAnsi="Comic Sans MS"/>
          <w:b/>
          <w:bCs/>
          <w:color w:val="9966FF"/>
          <w:sz w:val="20"/>
          <w:szCs w:val="20"/>
        </w:rPr>
        <w:t>Adenina</w:t>
      </w:r>
      <w:r w:rsidRPr="00D005E5">
        <w:rPr>
          <w:rFonts w:ascii="Comic Sans MS" w:hAnsi="Comic Sans MS"/>
          <w:color w:val="9966FF"/>
          <w:sz w:val="20"/>
          <w:szCs w:val="20"/>
        </w:rPr>
        <w:t>) y G (</w:t>
      </w:r>
      <w:r w:rsidRPr="00D005E5">
        <w:rPr>
          <w:rFonts w:ascii="Comic Sans MS" w:hAnsi="Comic Sans MS"/>
          <w:b/>
          <w:bCs/>
          <w:color w:val="9966FF"/>
          <w:sz w:val="20"/>
          <w:szCs w:val="20"/>
        </w:rPr>
        <w:t>Guanina</w:t>
      </w:r>
      <w:r w:rsidRPr="00D005E5">
        <w:rPr>
          <w:rFonts w:ascii="Comic Sans MS" w:hAnsi="Comic Sans MS"/>
          <w:color w:val="9966FF"/>
          <w:sz w:val="20"/>
          <w:szCs w:val="20"/>
        </w:rPr>
        <w:t>). Las pirimidinas son T (</w:t>
      </w:r>
      <w:r w:rsidRPr="00D005E5">
        <w:rPr>
          <w:rFonts w:ascii="Comic Sans MS" w:hAnsi="Comic Sans MS"/>
          <w:b/>
          <w:bCs/>
          <w:color w:val="9966FF"/>
          <w:sz w:val="20"/>
          <w:szCs w:val="20"/>
        </w:rPr>
        <w:t>Timina</w:t>
      </w:r>
      <w:r w:rsidRPr="00D005E5">
        <w:rPr>
          <w:rFonts w:ascii="Comic Sans MS" w:hAnsi="Comic Sans MS"/>
          <w:color w:val="9966FF"/>
          <w:sz w:val="20"/>
          <w:szCs w:val="20"/>
        </w:rPr>
        <w:t>) y C (</w:t>
      </w:r>
      <w:r w:rsidRPr="00D005E5">
        <w:rPr>
          <w:rFonts w:ascii="Comic Sans MS" w:hAnsi="Comic Sans MS"/>
          <w:b/>
          <w:bCs/>
          <w:color w:val="9966FF"/>
          <w:sz w:val="20"/>
          <w:szCs w:val="20"/>
        </w:rPr>
        <w:t>Citosina</w:t>
      </w:r>
      <w:proofErr w:type="gramStart"/>
      <w:r w:rsidRPr="00D005E5">
        <w:rPr>
          <w:rFonts w:ascii="Comic Sans MS" w:hAnsi="Comic Sans MS"/>
          <w:color w:val="9966FF"/>
          <w:sz w:val="20"/>
          <w:szCs w:val="20"/>
        </w:rPr>
        <w:t>) .</w:t>
      </w:r>
      <w:proofErr w:type="gramEnd"/>
      <w:r w:rsidRPr="00D005E5">
        <w:rPr>
          <w:rFonts w:ascii="Comic Sans MS" w:hAnsi="Comic Sans MS"/>
          <w:color w:val="9966FF"/>
          <w:sz w:val="20"/>
          <w:szCs w:val="20"/>
        </w:rPr>
        <w:t xml:space="preserve"> En el caso del ARN también son cuatro bases, dos purinas y dos pirimidinas. Las purinas son A y G y las pirimidinas son C y U (</w:t>
      </w:r>
      <w:r w:rsidRPr="00D005E5">
        <w:rPr>
          <w:rFonts w:ascii="Comic Sans MS" w:hAnsi="Comic Sans MS"/>
          <w:b/>
          <w:bCs/>
          <w:color w:val="9966FF"/>
          <w:sz w:val="20"/>
          <w:szCs w:val="20"/>
        </w:rPr>
        <w:t>Uracilo</w:t>
      </w:r>
      <w:r w:rsidRPr="00D005E5">
        <w:rPr>
          <w:rFonts w:ascii="Comic Sans MS" w:hAnsi="Comic Sans MS"/>
          <w:color w:val="9966FF"/>
          <w:sz w:val="20"/>
          <w:szCs w:val="20"/>
        </w:rPr>
        <w:t xml:space="preserve">). </w:t>
      </w:r>
    </w:p>
    <w:p w:rsidR="00D005E5" w:rsidRDefault="00D005E5" w:rsidP="00D005E5">
      <w:pPr>
        <w:pStyle w:val="NormalWeb"/>
        <w:jc w:val="center"/>
        <w:rPr>
          <w:color w:val="9966FF"/>
        </w:rPr>
      </w:pPr>
      <w:bookmarkStart w:id="0" w:name="f-1-1-1-d"/>
      <w:bookmarkEnd w:id="0"/>
      <w:r w:rsidRPr="00D005E5">
        <w:rPr>
          <w:noProof/>
          <w:color w:val="9966FF"/>
        </w:rPr>
        <w:drawing>
          <wp:inline distT="0" distB="0" distL="0" distR="0">
            <wp:extent cx="3813810" cy="3180080"/>
            <wp:effectExtent l="19050" t="0" r="0" b="0"/>
            <wp:docPr id="1" name="Imagen 1" descr="http://superfund.pharmacy.arizona.edu/toxamb/images/f1-1-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erfund.pharmacy.arizona.edu/toxamb/images/f1-1-1-d.gif"/>
                    <pic:cNvPicPr>
                      <a:picLocks noChangeAspect="1" noChangeArrowheads="1"/>
                    </pic:cNvPicPr>
                  </pic:nvPicPr>
                  <pic:blipFill>
                    <a:blip r:embed="rId4"/>
                    <a:srcRect/>
                    <a:stretch>
                      <a:fillRect/>
                    </a:stretch>
                  </pic:blipFill>
                  <pic:spPr bwMode="auto">
                    <a:xfrm>
                      <a:off x="0" y="0"/>
                      <a:ext cx="3813810" cy="3180080"/>
                    </a:xfrm>
                    <a:prstGeom prst="rect">
                      <a:avLst/>
                    </a:prstGeom>
                    <a:noFill/>
                    <a:ln w="9525">
                      <a:noFill/>
                      <a:miter lim="800000"/>
                      <a:headEnd/>
                      <a:tailEnd/>
                    </a:ln>
                  </pic:spPr>
                </pic:pic>
              </a:graphicData>
            </a:graphic>
          </wp:inline>
        </w:drawing>
      </w:r>
    </w:p>
    <w:p w:rsidR="00D005E5" w:rsidRDefault="00D005E5" w:rsidP="00D005E5">
      <w:pPr>
        <w:pStyle w:val="NormalWeb"/>
        <w:jc w:val="center"/>
        <w:rPr>
          <w:color w:val="9966FF"/>
        </w:rPr>
      </w:pPr>
    </w:p>
    <w:p w:rsidR="00D005E5" w:rsidRDefault="00D005E5" w:rsidP="00D005E5">
      <w:pPr>
        <w:pStyle w:val="NormalWeb"/>
        <w:jc w:val="center"/>
        <w:rPr>
          <w:color w:val="9966FF"/>
        </w:rPr>
      </w:pPr>
    </w:p>
    <w:p w:rsidR="00D005E5" w:rsidRDefault="00D005E5" w:rsidP="00D005E5">
      <w:pPr>
        <w:pStyle w:val="NormalWeb"/>
        <w:jc w:val="center"/>
        <w:rPr>
          <w:color w:val="9966FF"/>
        </w:rPr>
      </w:pPr>
    </w:p>
    <w:p w:rsidR="00D005E5" w:rsidRPr="00D005E5" w:rsidRDefault="00D005E5" w:rsidP="00D005E5">
      <w:pPr>
        <w:pStyle w:val="NormalWeb"/>
        <w:jc w:val="center"/>
        <w:rPr>
          <w:color w:val="9966FF"/>
        </w:rPr>
      </w:pPr>
    </w:p>
    <w:p w:rsidR="00D005E5" w:rsidRPr="00D005E5" w:rsidRDefault="00D005E5" w:rsidP="00D005E5">
      <w:pPr>
        <w:pStyle w:val="NormalWeb"/>
        <w:rPr>
          <w:color w:val="9966FF"/>
        </w:rPr>
      </w:pPr>
      <w:r w:rsidRPr="00D005E5">
        <w:rPr>
          <w:rFonts w:ascii="Georgia" w:hAnsi="Georgia"/>
          <w:b/>
          <w:bCs/>
          <w:color w:val="9966FF"/>
          <w:sz w:val="20"/>
          <w:szCs w:val="20"/>
        </w:rPr>
        <w:t>-</w:t>
      </w:r>
      <w:r w:rsidRPr="00D005E5">
        <w:rPr>
          <w:rFonts w:ascii="Algerian" w:hAnsi="Algerian"/>
          <w:b/>
          <w:bCs/>
          <w:color w:val="9966FF"/>
          <w:sz w:val="20"/>
          <w:szCs w:val="20"/>
        </w:rPr>
        <w:t>Estructura de las Bases Nitrogenadas</w:t>
      </w:r>
      <w:r w:rsidRPr="00D005E5">
        <w:rPr>
          <w:rFonts w:ascii="Georgia" w:hAnsi="Georgia"/>
          <w:b/>
          <w:bCs/>
          <w:color w:val="9966FF"/>
          <w:sz w:val="20"/>
          <w:szCs w:val="20"/>
        </w:rPr>
        <w:t xml:space="preserve">. </w:t>
      </w:r>
    </w:p>
    <w:p w:rsidR="00D005E5" w:rsidRPr="00D005E5" w:rsidRDefault="00D005E5" w:rsidP="00D005E5">
      <w:pPr>
        <w:pStyle w:val="NormalWeb"/>
        <w:rPr>
          <w:rFonts w:ascii="Comic Sans MS" w:hAnsi="Comic Sans MS"/>
          <w:color w:val="9966FF"/>
        </w:rPr>
      </w:pPr>
      <w:r w:rsidRPr="00D005E5">
        <w:rPr>
          <w:rFonts w:ascii="Comic Sans MS" w:hAnsi="Comic Sans MS"/>
          <w:color w:val="9966FF"/>
          <w:sz w:val="20"/>
          <w:szCs w:val="20"/>
        </w:rPr>
        <w:t>Las bases se unen al carbono 1' del azúcar y el fosfato en el carbón 5' para formar el nucleótido.</w:t>
      </w:r>
    </w:p>
    <w:p w:rsidR="00D005E5" w:rsidRPr="00D005E5" w:rsidRDefault="00D005E5" w:rsidP="00D005E5">
      <w:pPr>
        <w:pStyle w:val="NormalWeb"/>
        <w:jc w:val="center"/>
        <w:rPr>
          <w:rFonts w:ascii="Comic Sans MS" w:hAnsi="Comic Sans MS"/>
          <w:color w:val="9966FF"/>
        </w:rPr>
      </w:pPr>
      <w:bookmarkStart w:id="1" w:name="f-1-1-1-e"/>
      <w:bookmarkEnd w:id="1"/>
      <w:r w:rsidRPr="00D005E5">
        <w:rPr>
          <w:rFonts w:ascii="Comic Sans MS" w:hAnsi="Comic Sans MS"/>
          <w:noProof/>
          <w:color w:val="9966FF"/>
        </w:rPr>
        <w:drawing>
          <wp:inline distT="0" distB="0" distL="0" distR="0">
            <wp:extent cx="2743200" cy="1903095"/>
            <wp:effectExtent l="19050" t="0" r="0" b="0"/>
            <wp:docPr id="2" name="Imagen 2" descr="http://superfund.pharmacy.arizona.edu/toxamb/images/f1-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erfund.pharmacy.arizona.edu/toxamb/images/f1-1-1-e.gif"/>
                    <pic:cNvPicPr>
                      <a:picLocks noChangeAspect="1" noChangeArrowheads="1"/>
                    </pic:cNvPicPr>
                  </pic:nvPicPr>
                  <pic:blipFill>
                    <a:blip r:embed="rId5"/>
                    <a:srcRect/>
                    <a:stretch>
                      <a:fillRect/>
                    </a:stretch>
                  </pic:blipFill>
                  <pic:spPr bwMode="auto">
                    <a:xfrm>
                      <a:off x="0" y="0"/>
                      <a:ext cx="2743200" cy="1903095"/>
                    </a:xfrm>
                    <a:prstGeom prst="rect">
                      <a:avLst/>
                    </a:prstGeom>
                    <a:noFill/>
                    <a:ln w="9525">
                      <a:noFill/>
                      <a:miter lim="800000"/>
                      <a:headEnd/>
                      <a:tailEnd/>
                    </a:ln>
                  </pic:spPr>
                </pic:pic>
              </a:graphicData>
            </a:graphic>
          </wp:inline>
        </w:drawing>
      </w:r>
    </w:p>
    <w:p w:rsidR="00D005E5" w:rsidRPr="00D005E5" w:rsidRDefault="00D005E5" w:rsidP="00D005E5">
      <w:pPr>
        <w:pStyle w:val="NormalWeb"/>
        <w:jc w:val="center"/>
        <w:rPr>
          <w:rFonts w:ascii="Comic Sans MS" w:hAnsi="Comic Sans MS"/>
          <w:color w:val="9966FF"/>
        </w:rPr>
      </w:pPr>
      <w:r w:rsidRPr="00D005E5">
        <w:rPr>
          <w:rFonts w:ascii="Comic Sans MS" w:hAnsi="Comic Sans MS"/>
          <w:b/>
          <w:bCs/>
          <w:color w:val="9966FF"/>
          <w:sz w:val="20"/>
          <w:szCs w:val="20"/>
        </w:rPr>
        <w:t>Estructura de un Nucleótido.</w:t>
      </w:r>
      <w:r w:rsidRPr="00D005E5">
        <w:rPr>
          <w:rFonts w:ascii="Comic Sans MS" w:hAnsi="Comic Sans MS"/>
          <w:color w:val="9966FF"/>
          <w:sz w:val="20"/>
          <w:szCs w:val="20"/>
        </w:rPr>
        <w:t xml:space="preserve"> </w:t>
      </w:r>
    </w:p>
    <w:p w:rsidR="00D005E5" w:rsidRPr="00D005E5" w:rsidRDefault="00D005E5" w:rsidP="00D005E5">
      <w:pPr>
        <w:pStyle w:val="NormalWeb"/>
        <w:rPr>
          <w:rFonts w:ascii="Comic Sans MS" w:hAnsi="Comic Sans MS"/>
          <w:color w:val="9966FF"/>
        </w:rPr>
      </w:pPr>
      <w:r w:rsidRPr="00D005E5">
        <w:rPr>
          <w:rFonts w:ascii="Comic Sans MS" w:hAnsi="Comic Sans MS"/>
          <w:color w:val="9966FF"/>
          <w:sz w:val="20"/>
          <w:szCs w:val="20"/>
        </w:rPr>
        <w:t xml:space="preserve">Los nucleótidos se unen para formar el polinucleótido por uniones fosfodiester entre el carbono 5' de un nucleótido y el carbono 3' del siguiente. </w:t>
      </w:r>
    </w:p>
    <w:p w:rsidR="00D005E5" w:rsidRPr="00D005E5" w:rsidRDefault="00D005E5" w:rsidP="00D005E5">
      <w:pPr>
        <w:pStyle w:val="NormalWeb"/>
        <w:jc w:val="center"/>
        <w:rPr>
          <w:rFonts w:ascii="Comic Sans MS" w:hAnsi="Comic Sans MS"/>
          <w:b/>
          <w:bCs/>
          <w:color w:val="9966FF"/>
          <w:sz w:val="20"/>
          <w:szCs w:val="20"/>
        </w:rPr>
      </w:pPr>
      <w:bookmarkStart w:id="2" w:name="f-1-1-1-f"/>
      <w:bookmarkEnd w:id="2"/>
      <w:r w:rsidRPr="00D005E5">
        <w:rPr>
          <w:rFonts w:ascii="Comic Sans MS" w:hAnsi="Comic Sans MS"/>
          <w:b/>
          <w:bCs/>
          <w:color w:val="9966FF"/>
          <w:sz w:val="20"/>
          <w:szCs w:val="20"/>
        </w:rPr>
        <w:t>.-</w:t>
      </w:r>
    </w:p>
    <w:p w:rsidR="00D005E5" w:rsidRPr="00D005E5" w:rsidRDefault="00D005E5" w:rsidP="00D005E5">
      <w:pPr>
        <w:pStyle w:val="NormalWeb"/>
        <w:jc w:val="center"/>
        <w:rPr>
          <w:rFonts w:ascii="Algerian" w:hAnsi="Algerian"/>
          <w:color w:val="9966FF"/>
        </w:rPr>
      </w:pPr>
      <w:r w:rsidRPr="00D005E5">
        <w:rPr>
          <w:rFonts w:ascii="Algerian" w:hAnsi="Algerian"/>
          <w:b/>
          <w:bCs/>
          <w:color w:val="9966FF"/>
          <w:sz w:val="20"/>
          <w:szCs w:val="20"/>
        </w:rPr>
        <w:t>Unión Fosfodiester en los Ácidos Nucleicos.</w:t>
      </w:r>
      <w:r w:rsidRPr="00D005E5">
        <w:rPr>
          <w:rFonts w:ascii="Algerian" w:hAnsi="Algerian"/>
          <w:color w:val="9966FF"/>
          <w:sz w:val="20"/>
          <w:szCs w:val="20"/>
        </w:rPr>
        <w:t xml:space="preserve"> </w:t>
      </w:r>
    </w:p>
    <w:p w:rsidR="00D005E5" w:rsidRPr="00D005E5" w:rsidRDefault="00D005E5" w:rsidP="00D005E5">
      <w:pPr>
        <w:pStyle w:val="NormalWeb"/>
        <w:rPr>
          <w:rFonts w:ascii="Comic Sans MS" w:hAnsi="Comic Sans MS"/>
          <w:color w:val="9966FF"/>
        </w:rPr>
      </w:pPr>
      <w:r w:rsidRPr="00D005E5">
        <w:rPr>
          <w:rFonts w:ascii="Comic Sans MS" w:hAnsi="Comic Sans MS"/>
          <w:color w:val="9966FF"/>
          <w:sz w:val="20"/>
          <w:szCs w:val="20"/>
        </w:rPr>
        <w:t xml:space="preserve">Un dinucleótido en el que se unieron un nucleótido con la base A con un nucleótido con la base G y el enlace fosfodiester se formó entre el carbono 3'del nucleótido con base A y el 5'del nucleótido con base G, se representa simplemente como AG. Si a este dinucleótido se le agrega otro nucleótido en el carbono 3' y este nucleótido tiene una base T, el trinucleótido resultante se representará por AGT. Ésta es la forma simplificada en que se acostumbra representar los polinucleótidos. </w:t>
      </w:r>
    </w:p>
    <w:p w:rsidR="00D005E5" w:rsidRPr="00D005E5" w:rsidRDefault="00D005E5" w:rsidP="00D005E5">
      <w:pPr>
        <w:pStyle w:val="NormalWeb"/>
        <w:rPr>
          <w:rFonts w:ascii="Comic Sans MS" w:hAnsi="Comic Sans MS"/>
          <w:color w:val="9966FF"/>
        </w:rPr>
      </w:pPr>
      <w:r w:rsidRPr="00D005E5">
        <w:rPr>
          <w:rFonts w:ascii="Comic Sans MS" w:hAnsi="Comic Sans MS"/>
          <w:color w:val="9966FF"/>
          <w:sz w:val="20"/>
          <w:szCs w:val="20"/>
        </w:rPr>
        <w:t xml:space="preserve">El ADN está formado por dos cadenas muy largas de polinucleótidos unidas entre sí por puentes de hidrógeno específicos entre las bases de las dos cadenas. La base de una cadena que se une por los puentes de hidrógeno con la base de la otra cadena se dice que forman un par de bases. A se parea con T y G con C (Figura 1.1.1.G.). </w:t>
      </w:r>
    </w:p>
    <w:p w:rsidR="00D005E5" w:rsidRPr="00D005E5" w:rsidRDefault="00D005E5" w:rsidP="00D005E5">
      <w:pPr>
        <w:pStyle w:val="NormalWeb"/>
        <w:rPr>
          <w:rFonts w:ascii="Comic Sans MS" w:hAnsi="Comic Sans MS"/>
          <w:color w:val="9966FF"/>
        </w:rPr>
      </w:pPr>
      <w:r w:rsidRPr="00D005E5">
        <w:rPr>
          <w:rFonts w:ascii="Comic Sans MS" w:hAnsi="Comic Sans MS"/>
          <w:color w:val="9966FF"/>
          <w:sz w:val="20"/>
          <w:szCs w:val="20"/>
        </w:rPr>
        <w:t>Las dos cadenas se encuentran arregladas en una estructura helicoidal alrededor de un eje común por lo que recibe el nombre de doble hélice. Las bases se encuentran acomodadas hacia el eje de la doble hélice, mientras que el azúcar y los fosfatos se encuentran orientados hacia el exterior de la molécula.</w:t>
      </w:r>
    </w:p>
    <w:p w:rsidR="00D005E5" w:rsidRDefault="00D005E5" w:rsidP="00D005E5">
      <w:pPr>
        <w:pStyle w:val="NormalWeb"/>
        <w:jc w:val="center"/>
      </w:pPr>
      <w:bookmarkStart w:id="3" w:name="f-1-1-1-g"/>
      <w:bookmarkEnd w:id="3"/>
      <w:r>
        <w:rPr>
          <w:noProof/>
        </w:rPr>
        <w:lastRenderedPageBreak/>
        <w:drawing>
          <wp:inline distT="0" distB="0" distL="0" distR="0">
            <wp:extent cx="4761230" cy="2405380"/>
            <wp:effectExtent l="19050" t="0" r="1270" b="0"/>
            <wp:docPr id="4" name="Imagen 4" descr="http://superfund.pharmacy.arizona.edu/toxamb/images/f1-1-1-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erfund.pharmacy.arizona.edu/toxamb/images/f1-1-1-g.gif"/>
                    <pic:cNvPicPr>
                      <a:picLocks noChangeAspect="1" noChangeArrowheads="1"/>
                    </pic:cNvPicPr>
                  </pic:nvPicPr>
                  <pic:blipFill>
                    <a:blip r:embed="rId6"/>
                    <a:srcRect/>
                    <a:stretch>
                      <a:fillRect/>
                    </a:stretch>
                  </pic:blipFill>
                  <pic:spPr bwMode="auto">
                    <a:xfrm>
                      <a:off x="0" y="0"/>
                      <a:ext cx="4761230" cy="2405380"/>
                    </a:xfrm>
                    <a:prstGeom prst="rect">
                      <a:avLst/>
                    </a:prstGeom>
                    <a:noFill/>
                    <a:ln w="9525">
                      <a:noFill/>
                      <a:miter lim="800000"/>
                      <a:headEnd/>
                      <a:tailEnd/>
                    </a:ln>
                  </pic:spPr>
                </pic:pic>
              </a:graphicData>
            </a:graphic>
          </wp:inline>
        </w:drawing>
      </w:r>
    </w:p>
    <w:p w:rsidR="00D005E5" w:rsidRPr="00D005E5" w:rsidRDefault="00D005E5" w:rsidP="00D005E5">
      <w:pPr>
        <w:pStyle w:val="NormalWeb"/>
        <w:rPr>
          <w:color w:val="9966FF"/>
        </w:rPr>
      </w:pPr>
      <w:r w:rsidRPr="00D005E5">
        <w:rPr>
          <w:rFonts w:ascii="Georgia" w:hAnsi="Georgia"/>
          <w:b/>
          <w:bCs/>
          <w:color w:val="9966FF"/>
          <w:sz w:val="20"/>
          <w:szCs w:val="20"/>
        </w:rPr>
        <w:t>Estructura de los Pares de Bases.</w:t>
      </w:r>
      <w:r w:rsidRPr="00D005E5">
        <w:rPr>
          <w:rFonts w:ascii="Georgia" w:hAnsi="Georgia"/>
          <w:color w:val="9966FF"/>
          <w:sz w:val="20"/>
          <w:szCs w:val="20"/>
        </w:rPr>
        <w:t xml:space="preserve"> </w:t>
      </w:r>
    </w:p>
    <w:p w:rsidR="00D005E5" w:rsidRPr="00D005E5" w:rsidRDefault="00D005E5" w:rsidP="00D005E5">
      <w:pPr>
        <w:pStyle w:val="NormalWeb"/>
        <w:rPr>
          <w:rFonts w:ascii="Comic Sans MS" w:hAnsi="Comic Sans MS"/>
          <w:color w:val="9966FF"/>
        </w:rPr>
      </w:pPr>
      <w:proofErr w:type="gramStart"/>
      <w:r w:rsidRPr="00D005E5">
        <w:rPr>
          <w:rFonts w:ascii="Comic Sans MS" w:hAnsi="Comic Sans MS"/>
          <w:color w:val="9966FF"/>
          <w:sz w:val="20"/>
          <w:szCs w:val="20"/>
        </w:rPr>
        <w:t>El</w:t>
      </w:r>
      <w:proofErr w:type="gramEnd"/>
      <w:r w:rsidRPr="00D005E5">
        <w:rPr>
          <w:rFonts w:ascii="Comic Sans MS" w:hAnsi="Comic Sans MS"/>
          <w:color w:val="9966FF"/>
          <w:sz w:val="20"/>
          <w:szCs w:val="20"/>
        </w:rPr>
        <w:t xml:space="preserve"> dimensiones de la hélice, independientemente de la especie, son las siguientes: </w:t>
      </w:r>
      <w:r w:rsidRPr="00D005E5">
        <w:rPr>
          <w:rFonts w:ascii="Comic Sans MS" w:hAnsi="Comic Sans MS"/>
          <w:b/>
          <w:bCs/>
          <w:color w:val="9966FF"/>
          <w:sz w:val="20"/>
          <w:szCs w:val="20"/>
        </w:rPr>
        <w:t>diámetro 20 Angstrom</w:t>
      </w:r>
      <w:r w:rsidRPr="00D005E5">
        <w:rPr>
          <w:rFonts w:ascii="Comic Sans MS" w:hAnsi="Comic Sans MS"/>
          <w:color w:val="9966FF"/>
          <w:sz w:val="20"/>
          <w:szCs w:val="20"/>
        </w:rPr>
        <w:t xml:space="preserve"> y la </w:t>
      </w:r>
      <w:r w:rsidRPr="00D005E5">
        <w:rPr>
          <w:rFonts w:ascii="Comic Sans MS" w:hAnsi="Comic Sans MS"/>
          <w:b/>
          <w:bCs/>
          <w:color w:val="9966FF"/>
          <w:sz w:val="20"/>
          <w:szCs w:val="20"/>
        </w:rPr>
        <w:t>longitud del paso 34 Angstrom</w:t>
      </w:r>
      <w:r w:rsidRPr="00D005E5">
        <w:rPr>
          <w:rFonts w:ascii="Comic Sans MS" w:hAnsi="Comic Sans MS"/>
          <w:color w:val="9966FF"/>
          <w:sz w:val="20"/>
          <w:szCs w:val="20"/>
        </w:rPr>
        <w:t xml:space="preserve"> el cual está constituido por 10 residuos de nucleótidos. El tamaño de la molécula de ADN de doble hélice se expresa en miles de bases o kb. </w:t>
      </w:r>
      <w:r w:rsidRPr="00D005E5">
        <w:rPr>
          <w:rFonts w:ascii="Comic Sans MS" w:hAnsi="Comic Sans MS"/>
          <w:b/>
          <w:bCs/>
          <w:color w:val="9966FF"/>
          <w:sz w:val="20"/>
          <w:szCs w:val="20"/>
        </w:rPr>
        <w:t>La longitud de 1kb es entonces 0.34 micras.</w:t>
      </w:r>
      <w:r w:rsidRPr="00D005E5">
        <w:rPr>
          <w:rFonts w:ascii="Comic Sans MS" w:hAnsi="Comic Sans MS"/>
          <w:color w:val="9966FF"/>
          <w:sz w:val="20"/>
          <w:szCs w:val="20"/>
        </w:rPr>
        <w:t xml:space="preserve"> </w:t>
      </w:r>
    </w:p>
    <w:p w:rsidR="00D005E5" w:rsidRPr="00D005E5" w:rsidRDefault="00D005E5" w:rsidP="00D005E5">
      <w:pPr>
        <w:pStyle w:val="NormalWeb"/>
        <w:rPr>
          <w:rFonts w:ascii="Comic Sans MS" w:hAnsi="Comic Sans MS"/>
          <w:color w:val="9966FF"/>
        </w:rPr>
      </w:pPr>
      <w:r w:rsidRPr="00D005E5">
        <w:rPr>
          <w:rFonts w:ascii="Comic Sans MS" w:hAnsi="Comic Sans MS"/>
          <w:b/>
          <w:bCs/>
          <w:color w:val="9966FF"/>
          <w:sz w:val="20"/>
          <w:szCs w:val="20"/>
        </w:rPr>
        <w:t xml:space="preserve">Una molécula de ADN de un milímetro de longitud estará </w:t>
      </w:r>
      <w:proofErr w:type="gramStart"/>
      <w:r w:rsidRPr="00D005E5">
        <w:rPr>
          <w:rFonts w:ascii="Comic Sans MS" w:hAnsi="Comic Sans MS"/>
          <w:b/>
          <w:bCs/>
          <w:color w:val="9966FF"/>
          <w:sz w:val="20"/>
          <w:szCs w:val="20"/>
        </w:rPr>
        <w:t>formado</w:t>
      </w:r>
      <w:proofErr w:type="gramEnd"/>
      <w:r w:rsidRPr="00D005E5">
        <w:rPr>
          <w:rFonts w:ascii="Comic Sans MS" w:hAnsi="Comic Sans MS"/>
          <w:b/>
          <w:bCs/>
          <w:color w:val="9966FF"/>
          <w:sz w:val="20"/>
          <w:szCs w:val="20"/>
        </w:rPr>
        <w:t xml:space="preserve"> de 3 mil kb o sea tres millones de bases.</w:t>
      </w:r>
      <w:r w:rsidRPr="00D005E5">
        <w:rPr>
          <w:rFonts w:ascii="Comic Sans MS" w:hAnsi="Comic Sans MS"/>
          <w:color w:val="9966FF"/>
          <w:sz w:val="20"/>
          <w:szCs w:val="20"/>
        </w:rPr>
        <w:t xml:space="preserve"> </w:t>
      </w:r>
    </w:p>
    <w:p w:rsidR="00D005E5" w:rsidRPr="00D005E5" w:rsidRDefault="00D005E5" w:rsidP="00D005E5">
      <w:pPr>
        <w:pStyle w:val="NormalWeb"/>
        <w:rPr>
          <w:rFonts w:ascii="Comic Sans MS" w:hAnsi="Comic Sans MS"/>
          <w:color w:val="9966FF"/>
        </w:rPr>
      </w:pPr>
      <w:r w:rsidRPr="00D005E5">
        <w:rPr>
          <w:rFonts w:ascii="Comic Sans MS" w:hAnsi="Comic Sans MS"/>
          <w:color w:val="9966FF"/>
          <w:sz w:val="20"/>
          <w:szCs w:val="20"/>
        </w:rPr>
        <w:t xml:space="preserve">Así pues la molécula de </w:t>
      </w:r>
      <w:r w:rsidRPr="00D005E5">
        <w:rPr>
          <w:rFonts w:ascii="Comic Sans MS" w:hAnsi="Comic Sans MS"/>
          <w:b/>
          <w:bCs/>
          <w:color w:val="9966FF"/>
          <w:sz w:val="20"/>
          <w:szCs w:val="20"/>
        </w:rPr>
        <w:t>ADN es un largo filamento de 20 Angstrom de diámetro cuya longitud depende del número de kb</w:t>
      </w:r>
      <w:r w:rsidRPr="00D005E5">
        <w:rPr>
          <w:rFonts w:ascii="Comic Sans MS" w:hAnsi="Comic Sans MS"/>
          <w:color w:val="9966FF"/>
          <w:sz w:val="20"/>
          <w:szCs w:val="20"/>
        </w:rPr>
        <w:t xml:space="preserve">, el cual a su vez depende de la especie. El rango de tamaño va desde </w:t>
      </w:r>
      <w:r w:rsidRPr="00D005E5">
        <w:rPr>
          <w:rFonts w:ascii="Comic Sans MS" w:hAnsi="Comic Sans MS"/>
          <w:b/>
          <w:bCs/>
          <w:color w:val="9966FF"/>
          <w:sz w:val="20"/>
          <w:szCs w:val="20"/>
        </w:rPr>
        <w:t>2 micras (5 kb) en el virus SV40</w:t>
      </w:r>
      <w:r w:rsidRPr="00D005E5">
        <w:rPr>
          <w:rFonts w:ascii="Comic Sans MS" w:hAnsi="Comic Sans MS"/>
          <w:color w:val="9966FF"/>
          <w:sz w:val="20"/>
          <w:szCs w:val="20"/>
        </w:rPr>
        <w:t xml:space="preserve">, hasta </w:t>
      </w:r>
      <w:r w:rsidRPr="00D005E5">
        <w:rPr>
          <w:rFonts w:ascii="Comic Sans MS" w:hAnsi="Comic Sans MS"/>
          <w:b/>
          <w:bCs/>
          <w:color w:val="9966FF"/>
          <w:sz w:val="20"/>
          <w:szCs w:val="20"/>
        </w:rPr>
        <w:t>casi un metro (3 x 10</w:t>
      </w:r>
      <w:r w:rsidRPr="00D005E5">
        <w:rPr>
          <w:rFonts w:ascii="Comic Sans MS" w:hAnsi="Comic Sans MS"/>
          <w:b/>
          <w:bCs/>
          <w:color w:val="9966FF"/>
          <w:sz w:val="20"/>
          <w:szCs w:val="20"/>
          <w:vertAlign w:val="superscript"/>
        </w:rPr>
        <w:t>6</w:t>
      </w:r>
      <w:r w:rsidRPr="00D005E5">
        <w:rPr>
          <w:rFonts w:ascii="Comic Sans MS" w:hAnsi="Comic Sans MS"/>
          <w:b/>
          <w:bCs/>
          <w:color w:val="9966FF"/>
          <w:sz w:val="20"/>
          <w:szCs w:val="20"/>
        </w:rPr>
        <w:t xml:space="preserve"> kb) en cromosomas humanos. El genoma de </w:t>
      </w:r>
      <w:r w:rsidRPr="00D005E5">
        <w:rPr>
          <w:rFonts w:ascii="Comic Sans MS" w:hAnsi="Comic Sans MS"/>
          <w:b/>
          <w:bCs/>
          <w:i/>
          <w:iCs/>
          <w:color w:val="9966FF"/>
          <w:sz w:val="20"/>
          <w:szCs w:val="20"/>
        </w:rPr>
        <w:t>E. coli</w:t>
      </w:r>
      <w:r w:rsidRPr="00D005E5">
        <w:rPr>
          <w:rFonts w:ascii="Comic Sans MS" w:hAnsi="Comic Sans MS"/>
          <w:color w:val="9966FF"/>
          <w:sz w:val="20"/>
          <w:szCs w:val="20"/>
        </w:rPr>
        <w:t xml:space="preserve">, no tiene extremos, o sea </w:t>
      </w:r>
      <w:r w:rsidRPr="00D005E5">
        <w:rPr>
          <w:rFonts w:ascii="Comic Sans MS" w:hAnsi="Comic Sans MS"/>
          <w:b/>
          <w:bCs/>
          <w:color w:val="9966FF"/>
          <w:sz w:val="20"/>
          <w:szCs w:val="20"/>
        </w:rPr>
        <w:t>forma un círculo, y el perímetro tiene una longitud de 1.4 mm (4000kb)</w:t>
      </w:r>
      <w:r w:rsidRPr="00D005E5">
        <w:rPr>
          <w:rFonts w:ascii="Comic Sans MS" w:hAnsi="Comic Sans MS"/>
          <w:color w:val="9966FF"/>
          <w:sz w:val="20"/>
          <w:szCs w:val="20"/>
        </w:rPr>
        <w:t xml:space="preserve">. El genoma de los animales superiores no forma círculos, es una estructura lineal abierta. </w:t>
      </w:r>
    </w:p>
    <w:p w:rsidR="00D005E5" w:rsidRDefault="00D005E5" w:rsidP="00D005E5">
      <w:pPr>
        <w:pStyle w:val="NormalWeb"/>
        <w:jc w:val="center"/>
      </w:pPr>
      <w:bookmarkStart w:id="4" w:name="f-1-1-1-h"/>
      <w:bookmarkEnd w:id="4"/>
      <w:r>
        <w:rPr>
          <w:noProof/>
        </w:rPr>
        <w:lastRenderedPageBreak/>
        <w:drawing>
          <wp:inline distT="0" distB="0" distL="0" distR="0">
            <wp:extent cx="3813810" cy="3797935"/>
            <wp:effectExtent l="19050" t="0" r="0" b="0"/>
            <wp:docPr id="5" name="Imagen 5" descr="http://superfund.pharmacy.arizona.edu/toxamb/images/1-1-1-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erfund.pharmacy.arizona.edu/toxamb/images/1-1-1-h.gif"/>
                    <pic:cNvPicPr>
                      <a:picLocks noChangeAspect="1" noChangeArrowheads="1"/>
                    </pic:cNvPicPr>
                  </pic:nvPicPr>
                  <pic:blipFill>
                    <a:blip r:embed="rId7"/>
                    <a:srcRect/>
                    <a:stretch>
                      <a:fillRect/>
                    </a:stretch>
                  </pic:blipFill>
                  <pic:spPr bwMode="auto">
                    <a:xfrm>
                      <a:off x="0" y="0"/>
                      <a:ext cx="3813810" cy="3797935"/>
                    </a:xfrm>
                    <a:prstGeom prst="rect">
                      <a:avLst/>
                    </a:prstGeom>
                    <a:noFill/>
                    <a:ln w="9525">
                      <a:noFill/>
                      <a:miter lim="800000"/>
                      <a:headEnd/>
                      <a:tailEnd/>
                    </a:ln>
                  </pic:spPr>
                </pic:pic>
              </a:graphicData>
            </a:graphic>
          </wp:inline>
        </w:drawing>
      </w:r>
    </w:p>
    <w:p w:rsidR="00740AFF" w:rsidRDefault="00740AFF"/>
    <w:sectPr w:rsidR="00740AFF" w:rsidSect="00740A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D005E5"/>
    <w:rsid w:val="00740AFF"/>
    <w:rsid w:val="00D005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05E5"/>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Textodeglobo">
    <w:name w:val="Balloon Text"/>
    <w:basedOn w:val="Normal"/>
    <w:link w:val="TextodegloboCar"/>
    <w:uiPriority w:val="99"/>
    <w:semiHidden/>
    <w:unhideWhenUsed/>
    <w:rsid w:val="00D005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5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592</Words>
  <Characters>3261</Characters>
  <Application>Microsoft Office Word</Application>
  <DocSecurity>0</DocSecurity>
  <Lines>27</Lines>
  <Paragraphs>7</Paragraphs>
  <ScaleCrop>false</ScaleCrop>
  <Company>Acer</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2009-11-09T22:37:00Z</dcterms:created>
  <dcterms:modified xsi:type="dcterms:W3CDTF">2009-11-09T22:44:00Z</dcterms:modified>
</cp:coreProperties>
</file>