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B8" w:rsidRPr="001E6FC3" w:rsidRDefault="002F1FEE">
      <w:pPr>
        <w:rPr>
          <w:rFonts w:ascii="Bradley Hand ITC" w:hAnsi="Bradley Hand ITC"/>
          <w:b/>
          <w:color w:val="92D050"/>
          <w:sz w:val="52"/>
          <w:szCs w:val="52"/>
        </w:rPr>
      </w:pPr>
      <w:r w:rsidRPr="001E6FC3">
        <w:rPr>
          <w:rFonts w:ascii="Bradley Hand ITC" w:hAnsi="Bradley Hand ITC"/>
          <w:b/>
          <w:color w:val="92D050"/>
          <w:sz w:val="52"/>
          <w:szCs w:val="52"/>
        </w:rPr>
        <w:t>Ácidos nucleicos</w:t>
      </w:r>
    </w:p>
    <w:p w:rsidR="002F1FEE" w:rsidRPr="001E6FC3" w:rsidRDefault="002F1FEE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Un acido nucleico es un polímero formado por nucleótidos (monomeros). Sus  </w:t>
      </w:r>
      <w:r w:rsidR="0058516D" w:rsidRPr="001E6FC3">
        <w:rPr>
          <w:rFonts w:ascii="Bradley Hand ITC" w:hAnsi="Bradley Hand ITC"/>
          <w:b/>
          <w:color w:val="00B050"/>
          <w:sz w:val="40"/>
          <w:szCs w:val="40"/>
        </w:rPr>
        <w:t>átomos</w:t>
      </w: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 son el carbono, el hidrogeno, el oxigeno y el fosforo. Cada nucleotico </w:t>
      </w:r>
      <w:r w:rsidR="0058516D" w:rsidRPr="001E6FC3">
        <w:rPr>
          <w:rFonts w:ascii="Bradley Hand ITC" w:hAnsi="Bradley Hand ITC"/>
          <w:b/>
          <w:color w:val="00B050"/>
          <w:sz w:val="40"/>
          <w:szCs w:val="40"/>
        </w:rPr>
        <w:t>está</w:t>
      </w: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 constituido por un azucar de cinco carbonos (parecida a la glucosa pero con un </w:t>
      </w:r>
      <w:r w:rsidR="0058516D" w:rsidRPr="001E6FC3">
        <w:rPr>
          <w:rFonts w:ascii="Bradley Hand ITC" w:hAnsi="Bradley Hand ITC"/>
          <w:b/>
          <w:color w:val="00B050"/>
          <w:sz w:val="40"/>
          <w:szCs w:val="40"/>
        </w:rPr>
        <w:t>carbono</w:t>
      </w: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 menos), un ion de fosfato.</w:t>
      </w:r>
    </w:p>
    <w:p w:rsidR="002F1FEE" w:rsidRPr="001E6FC3" w:rsidRDefault="002F1FEE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Existen dos categorías de ácidos nucleícos: </w:t>
      </w:r>
    </w:p>
    <w:p w:rsidR="002F1FEE" w:rsidRPr="001E6FC3" w:rsidRDefault="002F1FEE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EL ACIDO DESOXIRRIBONUCLEICO (ADN) </w:t>
      </w:r>
    </w:p>
    <w:p w:rsidR="002F1FEE" w:rsidRPr="001E6FC3" w:rsidRDefault="002F1FEE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>EL ACIDO RIBONUCLEICO (ARN).</w:t>
      </w:r>
    </w:p>
    <w:p w:rsidR="002F1FEE" w:rsidRPr="001E6FC3" w:rsidRDefault="002F1FEE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>Ambos transportan las instrucciones para la construcción de proteínas.</w:t>
      </w:r>
    </w:p>
    <w:p w:rsidR="0058516D" w:rsidRPr="001E6FC3" w:rsidRDefault="002F1FEE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Acido desoxirribonucleico. Una molécula de ADN </w:t>
      </w:r>
      <w:r w:rsidR="0058516D" w:rsidRPr="001E6FC3">
        <w:rPr>
          <w:rFonts w:ascii="Bradley Hand ITC" w:hAnsi="Bradley Hand ITC"/>
          <w:b/>
          <w:color w:val="00B050"/>
          <w:sz w:val="40"/>
          <w:szCs w:val="40"/>
        </w:rPr>
        <w:t>está</w:t>
      </w: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 constituida</w:t>
      </w:r>
      <w:r w:rsidR="0058516D" w:rsidRPr="001E6FC3">
        <w:rPr>
          <w:rFonts w:ascii="Bradley Hand ITC" w:hAnsi="Bradley Hand ITC"/>
          <w:b/>
          <w:color w:val="00B050"/>
          <w:sz w:val="40"/>
          <w:szCs w:val="40"/>
        </w:rPr>
        <w:t xml:space="preserve"> por dos cadenas largas de nucleótidos. Cada nucleótidos está constituido de desoxirribosa (el azucar del cual el ADN obtiene su nombre), un ion de fosfato y uno de cuatro bases nitrogenadas:</w:t>
      </w:r>
    </w:p>
    <w:p w:rsidR="0058516D" w:rsidRPr="001E6FC3" w:rsidRDefault="0058516D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>ADENINA</w:t>
      </w:r>
    </w:p>
    <w:p w:rsidR="0058516D" w:rsidRPr="001E6FC3" w:rsidRDefault="0058516D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lastRenderedPageBreak/>
        <w:t>GUANINA</w:t>
      </w:r>
    </w:p>
    <w:p w:rsidR="00F876A2" w:rsidRPr="001E6FC3" w:rsidRDefault="00F876A2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>TIM</w:t>
      </w:r>
      <w:r w:rsidR="0058516D" w:rsidRPr="001E6FC3">
        <w:rPr>
          <w:rFonts w:ascii="Bradley Hand ITC" w:hAnsi="Bradley Hand ITC"/>
          <w:b/>
          <w:color w:val="00B050"/>
          <w:sz w:val="40"/>
          <w:szCs w:val="40"/>
        </w:rPr>
        <w:t>INA</w:t>
      </w:r>
    </w:p>
    <w:p w:rsidR="0058516D" w:rsidRPr="001E6FC3" w:rsidRDefault="0058516D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>CITOSINA.</w:t>
      </w:r>
    </w:p>
    <w:p w:rsidR="0058516D" w:rsidRPr="001E6FC3" w:rsidRDefault="0058516D" w:rsidP="0058516D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Las dos cadenas de una molécula de ADN se unen mediante enlaces de hidrogeno formando entre bases nitrogenadas. A </w:t>
      </w:r>
      <w:r w:rsidR="002F1FEE" w:rsidRPr="001E6FC3">
        <w:rPr>
          <w:rFonts w:ascii="Bradley Hand ITC" w:hAnsi="Bradley Hand ITC"/>
          <w:b/>
          <w:color w:val="00B050"/>
          <w:sz w:val="40"/>
          <w:szCs w:val="40"/>
        </w:rPr>
        <w:t xml:space="preserve"> </w:t>
      </w: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pasar de que cada enlace de hidrogeno es relativamente débil, los abundantes enlaces entre muchas bases forman una conexión estable entre las dos cadenas de nucleótidos.  La </w:t>
      </w:r>
      <w:r w:rsidR="00F876A2" w:rsidRPr="001E6FC3">
        <w:rPr>
          <w:rFonts w:ascii="Bradley Hand ITC" w:hAnsi="Bradley Hand ITC"/>
          <w:b/>
          <w:color w:val="00B050"/>
          <w:sz w:val="40"/>
          <w:szCs w:val="40"/>
        </w:rPr>
        <w:t>molécula</w:t>
      </w: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 entera se tuerce en forme de espiral, llamada una doble hélice debido a las dos cadenas. Las beses nitrogenadas de la </w:t>
      </w:r>
      <w:r w:rsidR="00F876A2" w:rsidRPr="001E6FC3">
        <w:rPr>
          <w:rFonts w:ascii="Bradley Hand ITC" w:hAnsi="Bradley Hand ITC"/>
          <w:b/>
          <w:color w:val="00B050"/>
          <w:sz w:val="40"/>
          <w:szCs w:val="40"/>
        </w:rPr>
        <w:t>molécula</w:t>
      </w: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 de ADNA forman enlaces</w:t>
      </w:r>
      <w:r w:rsidR="00F876A2" w:rsidRPr="001E6FC3">
        <w:rPr>
          <w:rFonts w:ascii="Bradley Hand ITC" w:hAnsi="Bradley Hand ITC"/>
          <w:b/>
          <w:color w:val="00B050"/>
          <w:sz w:val="40"/>
          <w:szCs w:val="40"/>
        </w:rPr>
        <w:t xml:space="preserve"> de hidrogeno con otras de acuerdo con reglas específicas conocidas como reglas de pares de bases:</w:t>
      </w:r>
    </w:p>
    <w:p w:rsidR="00F876A2" w:rsidRPr="001E6FC3" w:rsidRDefault="00F876A2" w:rsidP="0058516D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>La adenina se empareja únicamente con la timina; la guanina  con la citosina y por el contrario, no existe ninguna regla para que rija la secuencia de los nucleótidos a lo largo de la longitud de la molécula.</w:t>
      </w:r>
    </w:p>
    <w:p w:rsidR="00F876A2" w:rsidRPr="001E6FC3" w:rsidRDefault="00F876A2" w:rsidP="0058516D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>Una molécula de ADN tiene tres características distintivas importantes:</w:t>
      </w:r>
    </w:p>
    <w:p w:rsidR="00F876A2" w:rsidRPr="001E6FC3" w:rsidRDefault="00F876A2" w:rsidP="0058516D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lastRenderedPageBreak/>
        <w:t>1° es que su estructura estable está dada por las cadenas de azucar-fosfato, formadas por enlaces covalentes, que proveen un soporte para la molécula.</w:t>
      </w:r>
    </w:p>
    <w:p w:rsidR="00F876A2" w:rsidRPr="001E6FC3" w:rsidRDefault="00F876A2" w:rsidP="0058516D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 xml:space="preserve">2° es que las bases se unen a la cadena de azucar-fosfato por enlaces covalentes pero de manera </w:t>
      </w:r>
      <w:r w:rsidR="001E6FC3" w:rsidRPr="001E6FC3">
        <w:rPr>
          <w:rFonts w:ascii="Bradley Hand ITC" w:hAnsi="Bradley Hand ITC"/>
          <w:b/>
          <w:color w:val="00B050"/>
          <w:sz w:val="40"/>
          <w:szCs w:val="40"/>
        </w:rPr>
        <w:t xml:space="preserve">débil unas con otras (por enlaces de hidrogeno). Así es relativamente fácil para las dos cadenas, con sus bases adjuntas, separarse y entonces la molécula podrá hacer otra copia de sí misma.  </w:t>
      </w:r>
    </w:p>
    <w:p w:rsidR="001E6FC3" w:rsidRPr="001E6FC3" w:rsidRDefault="001E6FC3" w:rsidP="0058516D">
      <w:pPr>
        <w:rPr>
          <w:rFonts w:ascii="Bradley Hand ITC" w:hAnsi="Bradley Hand ITC"/>
          <w:b/>
          <w:color w:val="00B050"/>
          <w:sz w:val="40"/>
          <w:szCs w:val="40"/>
        </w:rPr>
      </w:pPr>
      <w:r w:rsidRPr="001E6FC3">
        <w:rPr>
          <w:rFonts w:ascii="Bradley Hand ITC" w:hAnsi="Bradley Hand ITC"/>
          <w:b/>
          <w:color w:val="00B050"/>
          <w:sz w:val="40"/>
          <w:szCs w:val="40"/>
        </w:rPr>
        <w:t>3° es que las secuencias de bases a lo largo de cada cadena de azucar-fosfato contienen genes, los cuales especifican el orden en que cada aminoácido se une para construir proteína.</w:t>
      </w:r>
    </w:p>
    <w:p w:rsidR="002F1FEE" w:rsidRPr="002F1FEE" w:rsidRDefault="002F1FEE">
      <w:pPr>
        <w:rPr>
          <w:sz w:val="24"/>
        </w:rPr>
      </w:pPr>
    </w:p>
    <w:sectPr w:rsidR="002F1FEE" w:rsidRPr="002F1FEE" w:rsidSect="00295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FEE"/>
    <w:rsid w:val="001E6FC3"/>
    <w:rsid w:val="002953B8"/>
    <w:rsid w:val="002F1FEE"/>
    <w:rsid w:val="0058516D"/>
    <w:rsid w:val="00F8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 todos</dc:creator>
  <cp:lastModifiedBy>para todos</cp:lastModifiedBy>
  <cp:revision>2</cp:revision>
  <dcterms:created xsi:type="dcterms:W3CDTF">2009-11-04T23:40:00Z</dcterms:created>
  <dcterms:modified xsi:type="dcterms:W3CDTF">2009-11-05T00:19:00Z</dcterms:modified>
</cp:coreProperties>
</file>