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AE" w:rsidRDefault="00C00493">
      <w:pPr>
        <w:rPr>
          <w:rFonts w:ascii="Bradley Hand ITC" w:hAnsi="Bradley Hand ITC"/>
          <w:b/>
          <w:color w:val="92D050"/>
          <w:sz w:val="44"/>
          <w:szCs w:val="44"/>
        </w:rPr>
      </w:pPr>
      <w:r w:rsidRPr="009855AE">
        <w:rPr>
          <w:rFonts w:ascii="Bradley Hand ITC" w:hAnsi="Bradley Hand ITC"/>
          <w:b/>
          <w:color w:val="92D050"/>
          <w:sz w:val="44"/>
          <w:szCs w:val="44"/>
        </w:rPr>
        <w:t>ACIDO RIBONUCLEICO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44"/>
          <w:szCs w:val="44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Esta cadena está conformada por una cadena simple de nucleótidos. Cada nucleótidos de ARN esta hecho de ribosa (el azucar del cual toma su nombre), un fosfato y una de las cuatro bases nitrogenadas: 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ADENINA 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>GUANINA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>CITOSINA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>URACILO.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>(OBSERVEN que tres de las cuatro bases estan presentes tanto en el ADN como en el ARN; la cuarta base diferente: en el ADN es la timina y en el ARN es el uracilo.)</w:t>
      </w:r>
    </w:p>
    <w:p w:rsidR="00C00493" w:rsidRPr="009855AE" w:rsidRDefault="00C00493">
      <w:pPr>
        <w:rPr>
          <w:rFonts w:ascii="Bradley Hand ITC" w:hAnsi="Bradley Hand ITC"/>
          <w:b/>
          <w:color w:val="92D050"/>
          <w:sz w:val="36"/>
          <w:szCs w:val="36"/>
        </w:rPr>
      </w:pP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Los nucleótidos de una molécula de ARN se mantienen unidos por enlaces covalentes entre el azucar de un nucleótido y el fosfato de otro.  Como en el ADN, la parte importante de una </w:t>
      </w:r>
      <w:r w:rsidR="009855AE" w:rsidRPr="009855AE">
        <w:rPr>
          <w:rFonts w:ascii="Bradley Hand ITC" w:hAnsi="Bradley Hand ITC"/>
          <w:b/>
          <w:color w:val="92D050"/>
          <w:sz w:val="36"/>
          <w:szCs w:val="36"/>
        </w:rPr>
        <w:t>molécula</w:t>
      </w: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 de estas moléculas es la parte que varia, es decir, la secuencia de bases. La </w:t>
      </w:r>
      <w:r w:rsidR="009855AE" w:rsidRPr="009855AE">
        <w:rPr>
          <w:rFonts w:ascii="Bradley Hand ITC" w:hAnsi="Bradley Hand ITC"/>
          <w:b/>
          <w:color w:val="92D050"/>
          <w:sz w:val="36"/>
          <w:szCs w:val="36"/>
        </w:rPr>
        <w:t>molécula</w:t>
      </w: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 de cadena simple del ARN es menos estable que la </w:t>
      </w:r>
      <w:r w:rsidR="009855AE" w:rsidRPr="009855AE">
        <w:rPr>
          <w:rFonts w:ascii="Bradley Hand ITC" w:hAnsi="Bradley Hand ITC"/>
          <w:b/>
          <w:color w:val="92D050"/>
          <w:sz w:val="36"/>
          <w:szCs w:val="36"/>
        </w:rPr>
        <w:t>molécula</w:t>
      </w:r>
      <w:r w:rsidRPr="009855AE">
        <w:rPr>
          <w:rFonts w:ascii="Bradley Hand ITC" w:hAnsi="Bradley Hand ITC"/>
          <w:b/>
          <w:color w:val="92D050"/>
          <w:sz w:val="36"/>
          <w:szCs w:val="36"/>
        </w:rPr>
        <w:t xml:space="preserve"> de doble cadena de ADN </w:t>
      </w:r>
      <w:r w:rsidR="009855AE" w:rsidRPr="009855AE">
        <w:rPr>
          <w:rFonts w:ascii="Bradley Hand ITC" w:hAnsi="Bradley Hand ITC"/>
          <w:b/>
          <w:color w:val="92D050"/>
          <w:sz w:val="36"/>
          <w:szCs w:val="36"/>
        </w:rPr>
        <w:t>y desarrolla tareas a más corto plazo que el almacenamiento a largo plazo de información genética. Estas tareas involucran principalmente la síntesis de proteínas a partir de los aminoácidos.</w:t>
      </w:r>
    </w:p>
    <w:sectPr w:rsidR="00C00493" w:rsidRPr="009855AE" w:rsidSect="00D91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493"/>
    <w:rsid w:val="009855AE"/>
    <w:rsid w:val="00C00493"/>
    <w:rsid w:val="00D9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2009-11-05T00:19:00Z</dcterms:created>
  <dcterms:modified xsi:type="dcterms:W3CDTF">2009-11-05T00:33:00Z</dcterms:modified>
</cp:coreProperties>
</file>