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519" w:rsidRPr="00232519" w:rsidRDefault="00232519" w:rsidP="00232519">
      <w:pPr>
        <w:shd w:val="clear" w:color="auto" w:fill="FFFFFF"/>
        <w:spacing w:before="161" w:after="161" w:line="240" w:lineRule="auto"/>
        <w:outlineLvl w:val="0"/>
        <w:rPr>
          <w:rFonts w:ascii="Arial" w:eastAsia="Times New Roman" w:hAnsi="Arial" w:cs="Arial"/>
          <w:b/>
          <w:bCs/>
          <w:color w:val="000000"/>
          <w:kern w:val="36"/>
          <w:sz w:val="48"/>
          <w:szCs w:val="48"/>
          <w:lang w:eastAsia="es-BO"/>
        </w:rPr>
      </w:pPr>
      <w:r w:rsidRPr="00232519">
        <w:rPr>
          <w:rFonts w:ascii="Arial" w:eastAsia="Times New Roman" w:hAnsi="Arial" w:cs="Arial"/>
          <w:b/>
          <w:bCs/>
          <w:color w:val="000000"/>
          <w:kern w:val="36"/>
          <w:sz w:val="48"/>
          <w:szCs w:val="48"/>
          <w:lang w:eastAsia="es-BO"/>
        </w:rPr>
        <w:t>Nueva Constitución Política Del Estado</w:t>
      </w:r>
    </w:p>
    <w:p w:rsidR="00232519" w:rsidRPr="00232519" w:rsidRDefault="00232519" w:rsidP="00232519">
      <w:pPr>
        <w:shd w:val="clear" w:color="auto" w:fill="FFFFFF"/>
        <w:spacing w:after="0" w:line="240" w:lineRule="auto"/>
        <w:rPr>
          <w:rFonts w:ascii="Arial" w:eastAsia="Times New Roman" w:hAnsi="Arial" w:cs="Arial"/>
          <w:color w:val="000000"/>
          <w:sz w:val="24"/>
          <w:szCs w:val="24"/>
          <w:lang w:eastAsia="es-BO"/>
        </w:rPr>
      </w:pPr>
      <w:hyperlink r:id="rId6" w:history="1">
        <w:r w:rsidRPr="00232519">
          <w:rPr>
            <w:rFonts w:ascii="Arial" w:eastAsia="Times New Roman" w:hAnsi="Arial" w:cs="Arial"/>
            <w:color w:val="06357A"/>
            <w:sz w:val="24"/>
            <w:szCs w:val="24"/>
            <w:lang w:eastAsia="es-BO"/>
          </w:rPr>
          <w:t>SECCIÓN II</w:t>
        </w:r>
      </w:hyperlink>
      <w:r w:rsidRPr="00232519">
        <w:rPr>
          <w:rFonts w:ascii="Arial" w:eastAsia="Times New Roman" w:hAnsi="Arial" w:cs="Arial"/>
          <w:color w:val="000000"/>
          <w:sz w:val="24"/>
          <w:szCs w:val="24"/>
          <w:lang w:eastAsia="es-BO"/>
        </w:rPr>
        <w:t> - Educación Superior</w:t>
      </w:r>
    </w:p>
    <w:p w:rsidR="00232519" w:rsidRPr="00232519" w:rsidRDefault="00232519" w:rsidP="00232519">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s-BO"/>
        </w:rPr>
      </w:pPr>
      <w:hyperlink r:id="rId7" w:anchor="articulo-91" w:history="1">
        <w:r w:rsidRPr="00232519">
          <w:rPr>
            <w:rFonts w:ascii="Arial" w:eastAsia="Times New Roman" w:hAnsi="Arial" w:cs="Arial"/>
            <w:color w:val="06357A"/>
            <w:sz w:val="24"/>
            <w:szCs w:val="24"/>
            <w:lang w:eastAsia="es-BO"/>
          </w:rPr>
          <w:t>Artículo 91</w:t>
        </w:r>
      </w:hyperlink>
    </w:p>
    <w:p w:rsidR="00232519" w:rsidRPr="00232519" w:rsidRDefault="00232519" w:rsidP="00232519">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s-BO"/>
        </w:rPr>
      </w:pPr>
      <w:hyperlink r:id="rId8" w:anchor="articulo-92" w:history="1">
        <w:r w:rsidRPr="00232519">
          <w:rPr>
            <w:rFonts w:ascii="Arial" w:eastAsia="Times New Roman" w:hAnsi="Arial" w:cs="Arial"/>
            <w:color w:val="06357A"/>
            <w:sz w:val="24"/>
            <w:szCs w:val="24"/>
            <w:lang w:eastAsia="es-BO"/>
          </w:rPr>
          <w:t>Artículo 92</w:t>
        </w:r>
      </w:hyperlink>
    </w:p>
    <w:p w:rsidR="00232519" w:rsidRPr="00232519" w:rsidRDefault="00232519" w:rsidP="00232519">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s-BO"/>
        </w:rPr>
      </w:pPr>
      <w:hyperlink r:id="rId9" w:anchor="articulo-93" w:history="1">
        <w:r w:rsidRPr="00232519">
          <w:rPr>
            <w:rFonts w:ascii="Arial" w:eastAsia="Times New Roman" w:hAnsi="Arial" w:cs="Arial"/>
            <w:color w:val="06357A"/>
            <w:sz w:val="24"/>
            <w:szCs w:val="24"/>
            <w:lang w:eastAsia="es-BO"/>
          </w:rPr>
          <w:t>Artículo 93</w:t>
        </w:r>
      </w:hyperlink>
    </w:p>
    <w:p w:rsidR="00232519" w:rsidRPr="00232519" w:rsidRDefault="00232519" w:rsidP="00232519">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s-BO"/>
        </w:rPr>
      </w:pPr>
      <w:hyperlink r:id="rId10" w:anchor="articulo-94" w:history="1">
        <w:r w:rsidRPr="00232519">
          <w:rPr>
            <w:rFonts w:ascii="Arial" w:eastAsia="Times New Roman" w:hAnsi="Arial" w:cs="Arial"/>
            <w:color w:val="06357A"/>
            <w:sz w:val="24"/>
            <w:szCs w:val="24"/>
            <w:lang w:eastAsia="es-BO"/>
          </w:rPr>
          <w:t>Artículo 94</w:t>
        </w:r>
      </w:hyperlink>
    </w:p>
    <w:p w:rsidR="00232519" w:rsidRPr="00232519" w:rsidRDefault="00232519" w:rsidP="00232519">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s-BO"/>
        </w:rPr>
      </w:pPr>
      <w:hyperlink r:id="rId11" w:anchor="articulo-95" w:history="1">
        <w:r w:rsidRPr="00232519">
          <w:rPr>
            <w:rFonts w:ascii="Arial" w:eastAsia="Times New Roman" w:hAnsi="Arial" w:cs="Arial"/>
            <w:color w:val="06357A"/>
            <w:sz w:val="24"/>
            <w:szCs w:val="24"/>
            <w:lang w:eastAsia="es-BO"/>
          </w:rPr>
          <w:t>Artículo 95</w:t>
        </w:r>
      </w:hyperlink>
    </w:p>
    <w:p w:rsidR="00232519" w:rsidRPr="00232519" w:rsidRDefault="00232519" w:rsidP="00232519">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s-BO"/>
        </w:rPr>
      </w:pPr>
      <w:hyperlink r:id="rId12" w:anchor="articulo-96" w:history="1">
        <w:r w:rsidRPr="00232519">
          <w:rPr>
            <w:rFonts w:ascii="Arial" w:eastAsia="Times New Roman" w:hAnsi="Arial" w:cs="Arial"/>
            <w:color w:val="06357A"/>
            <w:sz w:val="24"/>
            <w:szCs w:val="24"/>
            <w:lang w:eastAsia="es-BO"/>
          </w:rPr>
          <w:t>Artículo 96</w:t>
        </w:r>
      </w:hyperlink>
    </w:p>
    <w:p w:rsidR="00232519" w:rsidRPr="00232519" w:rsidRDefault="00232519" w:rsidP="00232519">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s-BO"/>
        </w:rPr>
      </w:pPr>
      <w:hyperlink r:id="rId13" w:anchor="articulo-98" w:history="1">
        <w:r w:rsidRPr="00232519">
          <w:rPr>
            <w:rFonts w:ascii="Arial" w:eastAsia="Times New Roman" w:hAnsi="Arial" w:cs="Arial"/>
            <w:color w:val="06357A"/>
            <w:sz w:val="24"/>
            <w:szCs w:val="24"/>
            <w:lang w:eastAsia="es-BO"/>
          </w:rPr>
          <w:t>Artículo 98</w:t>
        </w:r>
      </w:hyperlink>
    </w:p>
    <w:p w:rsidR="00232519" w:rsidRPr="00232519" w:rsidRDefault="00232519" w:rsidP="00232519">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s-BO"/>
        </w:rPr>
      </w:pPr>
      <w:bookmarkStart w:id="0" w:name="articulo-91"/>
      <w:r w:rsidRPr="00232519">
        <w:rPr>
          <w:rFonts w:ascii="Arial" w:eastAsia="Times New Roman" w:hAnsi="Arial" w:cs="Arial"/>
          <w:b/>
          <w:bCs/>
          <w:color w:val="06357A"/>
          <w:sz w:val="24"/>
          <w:szCs w:val="24"/>
          <w:lang w:eastAsia="es-BO"/>
        </w:rPr>
        <w:t>Artículo 91</w:t>
      </w:r>
      <w:bookmarkEnd w:id="0"/>
      <w:r w:rsidRPr="00232519">
        <w:rPr>
          <w:rFonts w:ascii="Arial" w:eastAsia="Times New Roman" w:hAnsi="Arial" w:cs="Arial"/>
          <w:color w:val="000000"/>
          <w:sz w:val="24"/>
          <w:szCs w:val="24"/>
          <w:lang w:eastAsia="es-BO"/>
        </w:rPr>
        <w:t xml:space="preserve"> I. La educación superior desarrolla procesos de formación profesional, de generación y divulgación de conocimientos orientados al desarrollo integral de la sociedad, para lo cual tomará en cuenta los conocimientos universales y los saberes colectivos de las naciones y pueblos indígena originario campesinos. II. La educación superior es </w:t>
      </w:r>
      <w:proofErr w:type="spellStart"/>
      <w:r w:rsidRPr="00232519">
        <w:rPr>
          <w:rFonts w:ascii="Arial" w:eastAsia="Times New Roman" w:hAnsi="Arial" w:cs="Arial"/>
          <w:color w:val="000000"/>
          <w:sz w:val="24"/>
          <w:szCs w:val="24"/>
          <w:lang w:eastAsia="es-BO"/>
        </w:rPr>
        <w:t>intracultural</w:t>
      </w:r>
      <w:proofErr w:type="spellEnd"/>
      <w:r w:rsidRPr="00232519">
        <w:rPr>
          <w:rFonts w:ascii="Arial" w:eastAsia="Times New Roman" w:hAnsi="Arial" w:cs="Arial"/>
          <w:color w:val="000000"/>
          <w:sz w:val="24"/>
          <w:szCs w:val="24"/>
          <w:lang w:eastAsia="es-BO"/>
        </w:rPr>
        <w:t>, intercultural y plurilingüe, y tiene por misión la formación 20 </w:t>
      </w:r>
      <w:bookmarkStart w:id="1" w:name="28"/>
      <w:bookmarkEnd w:id="1"/>
      <w:r w:rsidRPr="00232519">
        <w:rPr>
          <w:rFonts w:ascii="Arial" w:eastAsia="Times New Roman" w:hAnsi="Arial" w:cs="Arial"/>
          <w:color w:val="000000"/>
          <w:sz w:val="24"/>
          <w:szCs w:val="24"/>
          <w:lang w:eastAsia="es-BO"/>
        </w:rPr>
        <w:t>integral de recursos humanos con alta calificación y competencia profesional; desarrollar procesos de investigación científica para resolver problemas de la base productiva y de su entorno social; promover políticas de extensión e interacción social para fortalecer la diversidad científica, cultural y lingüística; participar junto a su pueblo en todos los procesos de liberación social, para construir una sociedad con mayor equidad y justicia social. III. La educación superior está conformada por las universidades, las escuelas superiores de formación docente, y los institutos técnicos, tecnológicos y artísticos.</w:t>
      </w:r>
    </w:p>
    <w:p w:rsidR="00232519" w:rsidRPr="00232519" w:rsidRDefault="00232519" w:rsidP="00232519">
      <w:pPr>
        <w:shd w:val="clear" w:color="auto" w:fill="FFFFFF"/>
        <w:spacing w:before="100" w:beforeAutospacing="1" w:after="100" w:afterAutospacing="1" w:line="240" w:lineRule="auto"/>
        <w:ind w:left="720"/>
        <w:rPr>
          <w:rFonts w:ascii="Arial" w:eastAsia="Times New Roman" w:hAnsi="Arial" w:cs="Arial"/>
          <w:color w:val="000000"/>
          <w:sz w:val="24"/>
          <w:szCs w:val="24"/>
          <w:lang w:eastAsia="es-BO"/>
        </w:rPr>
      </w:pPr>
      <w:hyperlink r:id="rId14" w:history="1">
        <w:r w:rsidRPr="00232519">
          <w:rPr>
            <w:rFonts w:ascii="Arial" w:eastAsia="Times New Roman" w:hAnsi="Arial" w:cs="Arial"/>
            <w:color w:val="06357A"/>
            <w:sz w:val="24"/>
            <w:szCs w:val="24"/>
            <w:lang w:eastAsia="es-BO"/>
          </w:rPr>
          <w:t>Volver al inicio</w:t>
        </w:r>
      </w:hyperlink>
      <w:r w:rsidRPr="00232519">
        <w:rPr>
          <w:rFonts w:ascii="Arial" w:eastAsia="Times New Roman" w:hAnsi="Arial" w:cs="Arial"/>
          <w:color w:val="000000"/>
          <w:sz w:val="24"/>
          <w:szCs w:val="24"/>
          <w:lang w:eastAsia="es-BO"/>
        </w:rPr>
        <w:t> </w:t>
      </w:r>
      <w:hyperlink r:id="rId15" w:history="1">
        <w:r w:rsidRPr="00232519">
          <w:rPr>
            <w:rFonts w:ascii="Arial" w:eastAsia="Times New Roman" w:hAnsi="Arial" w:cs="Arial"/>
            <w:color w:val="06357A"/>
            <w:sz w:val="24"/>
            <w:szCs w:val="24"/>
            <w:lang w:eastAsia="es-BO"/>
          </w:rPr>
          <w:t xml:space="preserve">Volver al </w:t>
        </w:r>
        <w:proofErr w:type="spellStart"/>
        <w:r w:rsidRPr="00232519">
          <w:rPr>
            <w:rFonts w:ascii="Arial" w:eastAsia="Times New Roman" w:hAnsi="Arial" w:cs="Arial"/>
            <w:color w:val="06357A"/>
            <w:sz w:val="24"/>
            <w:szCs w:val="24"/>
            <w:lang w:eastAsia="es-BO"/>
          </w:rPr>
          <w:t>indice</w:t>
        </w:r>
        <w:proofErr w:type="spellEnd"/>
      </w:hyperlink>
    </w:p>
    <w:p w:rsidR="00232519" w:rsidRPr="00232519" w:rsidRDefault="00232519" w:rsidP="00232519">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s-BO"/>
        </w:rPr>
      </w:pPr>
      <w:bookmarkStart w:id="2" w:name="articulo-92"/>
      <w:r w:rsidRPr="00232519">
        <w:rPr>
          <w:rFonts w:ascii="Arial" w:eastAsia="Times New Roman" w:hAnsi="Arial" w:cs="Arial"/>
          <w:b/>
          <w:bCs/>
          <w:color w:val="06357A"/>
          <w:sz w:val="24"/>
          <w:szCs w:val="24"/>
          <w:lang w:eastAsia="es-BO"/>
        </w:rPr>
        <w:t>Artículo 92</w:t>
      </w:r>
      <w:bookmarkEnd w:id="2"/>
      <w:r w:rsidRPr="00232519">
        <w:rPr>
          <w:rFonts w:ascii="Arial" w:eastAsia="Times New Roman" w:hAnsi="Arial" w:cs="Arial"/>
          <w:color w:val="000000"/>
          <w:sz w:val="24"/>
          <w:szCs w:val="24"/>
          <w:lang w:eastAsia="es-BO"/>
        </w:rPr>
        <w:t xml:space="preserve"> I. Las universidades públicas son autónomas e iguales en jerarquía. La autonomía consiste en la libre administración de sus recursos; el nombramiento de sus autoridades, su personal docente y administrativo; la elaboración y aprobación de sus estatutos, planes de estudio y presupuestos anuales; y la aceptación de legados y donaciones, así como la celebración de contratos, para realizar sus fines y sostener y perfeccionar sus institutos y facultades. Las universidades públicas podrán negociar empréstitos con garantía de sus bienes y recursos, previa aprobación legislativa. II. Las universidades públicas constituirán, en ejercicio de su autonomía, la Universidad Boliviana, que coordinará y programará sus fines y funciones mediante un organismo central, de acuerdo con un plan de desarrollo universitario. III. Las universidades públicas estarán autorizadas </w:t>
      </w:r>
      <w:r w:rsidRPr="00232519">
        <w:rPr>
          <w:rFonts w:ascii="Arial" w:eastAsia="Times New Roman" w:hAnsi="Arial" w:cs="Arial"/>
          <w:color w:val="000000"/>
          <w:sz w:val="24"/>
          <w:szCs w:val="24"/>
          <w:lang w:eastAsia="es-BO"/>
        </w:rPr>
        <w:lastRenderedPageBreak/>
        <w:t>para extender diplomas académicos y títulos profesionales con validez en todo el Estado.</w:t>
      </w:r>
    </w:p>
    <w:p w:rsidR="00232519" w:rsidRPr="00232519" w:rsidRDefault="00232519" w:rsidP="00232519">
      <w:pPr>
        <w:shd w:val="clear" w:color="auto" w:fill="FFFFFF"/>
        <w:spacing w:before="100" w:beforeAutospacing="1" w:after="100" w:afterAutospacing="1" w:line="240" w:lineRule="auto"/>
        <w:ind w:left="720"/>
        <w:rPr>
          <w:rFonts w:ascii="Arial" w:eastAsia="Times New Roman" w:hAnsi="Arial" w:cs="Arial"/>
          <w:color w:val="000000"/>
          <w:sz w:val="24"/>
          <w:szCs w:val="24"/>
          <w:lang w:eastAsia="es-BO"/>
        </w:rPr>
      </w:pPr>
      <w:hyperlink r:id="rId16" w:history="1">
        <w:r w:rsidRPr="00232519">
          <w:rPr>
            <w:rFonts w:ascii="Arial" w:eastAsia="Times New Roman" w:hAnsi="Arial" w:cs="Arial"/>
            <w:color w:val="06357A"/>
            <w:sz w:val="24"/>
            <w:szCs w:val="24"/>
            <w:lang w:eastAsia="es-BO"/>
          </w:rPr>
          <w:t>Volver al inicio</w:t>
        </w:r>
      </w:hyperlink>
      <w:r w:rsidRPr="00232519">
        <w:rPr>
          <w:rFonts w:ascii="Arial" w:eastAsia="Times New Roman" w:hAnsi="Arial" w:cs="Arial"/>
          <w:color w:val="000000"/>
          <w:sz w:val="24"/>
          <w:szCs w:val="24"/>
          <w:lang w:eastAsia="es-BO"/>
        </w:rPr>
        <w:t> </w:t>
      </w:r>
      <w:hyperlink r:id="rId17" w:history="1">
        <w:r w:rsidRPr="00232519">
          <w:rPr>
            <w:rFonts w:ascii="Arial" w:eastAsia="Times New Roman" w:hAnsi="Arial" w:cs="Arial"/>
            <w:color w:val="06357A"/>
            <w:sz w:val="24"/>
            <w:szCs w:val="24"/>
            <w:lang w:eastAsia="es-BO"/>
          </w:rPr>
          <w:t xml:space="preserve">Volver al </w:t>
        </w:r>
        <w:proofErr w:type="spellStart"/>
        <w:r w:rsidRPr="00232519">
          <w:rPr>
            <w:rFonts w:ascii="Arial" w:eastAsia="Times New Roman" w:hAnsi="Arial" w:cs="Arial"/>
            <w:color w:val="06357A"/>
            <w:sz w:val="24"/>
            <w:szCs w:val="24"/>
            <w:lang w:eastAsia="es-BO"/>
          </w:rPr>
          <w:t>indice</w:t>
        </w:r>
        <w:proofErr w:type="spellEnd"/>
      </w:hyperlink>
    </w:p>
    <w:p w:rsidR="00232519" w:rsidRPr="00232519" w:rsidRDefault="00232519" w:rsidP="00232519">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s-BO"/>
        </w:rPr>
      </w:pPr>
      <w:bookmarkStart w:id="3" w:name="articulo-93"/>
      <w:r w:rsidRPr="00232519">
        <w:rPr>
          <w:rFonts w:ascii="Arial" w:eastAsia="Times New Roman" w:hAnsi="Arial" w:cs="Arial"/>
          <w:b/>
          <w:bCs/>
          <w:color w:val="06357A"/>
          <w:sz w:val="24"/>
          <w:szCs w:val="24"/>
          <w:lang w:eastAsia="es-BO"/>
        </w:rPr>
        <w:t>Artículo 93</w:t>
      </w:r>
      <w:bookmarkEnd w:id="3"/>
      <w:r w:rsidRPr="00232519">
        <w:rPr>
          <w:rFonts w:ascii="Arial" w:eastAsia="Times New Roman" w:hAnsi="Arial" w:cs="Arial"/>
          <w:color w:val="000000"/>
          <w:sz w:val="24"/>
          <w:szCs w:val="24"/>
          <w:lang w:eastAsia="es-BO"/>
        </w:rPr>
        <w:t> I. Las universidades públicas serán obligatoria y suficientemente subvencionadas por el Estado, independientemente de sus recursos departamentales, municipales y propios, creados o por crearse. II. Las universidades públicas, en el marco de sus estatutos, establecerán los mecanismos de participación social de carácter consultivo, de coordinación y asesoramiento. III. Las universidades públicas establecerán mecanismos de rendición de cuentas y transparencia en el uso de sus recursos, a través de la presentación de estados financieros a la Asamblea Plurinacional Legislativa, a la Contraloría General y al Órgano Ejecutivo. IV. Las universidades públicas, en el marco de sus estatutos, establecerán programas de desconcentración académica y de interculturalidad, de acuerdo a las necesidades del Estado y de las naciones y pueblos indígena originario campesinos.</w:t>
      </w:r>
    </w:p>
    <w:p w:rsidR="00232519" w:rsidRPr="00232519" w:rsidRDefault="00232519" w:rsidP="00232519">
      <w:pPr>
        <w:shd w:val="clear" w:color="auto" w:fill="FFFFFF"/>
        <w:spacing w:before="100" w:beforeAutospacing="1" w:after="100" w:afterAutospacing="1" w:line="240" w:lineRule="auto"/>
        <w:ind w:left="720"/>
        <w:rPr>
          <w:rFonts w:ascii="Arial" w:eastAsia="Times New Roman" w:hAnsi="Arial" w:cs="Arial"/>
          <w:color w:val="000000"/>
          <w:sz w:val="24"/>
          <w:szCs w:val="24"/>
          <w:lang w:eastAsia="es-BO"/>
        </w:rPr>
      </w:pPr>
      <w:hyperlink r:id="rId18" w:history="1">
        <w:r w:rsidRPr="00232519">
          <w:rPr>
            <w:rFonts w:ascii="Arial" w:eastAsia="Times New Roman" w:hAnsi="Arial" w:cs="Arial"/>
            <w:color w:val="06357A"/>
            <w:sz w:val="24"/>
            <w:szCs w:val="24"/>
            <w:lang w:eastAsia="es-BO"/>
          </w:rPr>
          <w:t>Volver al inicio</w:t>
        </w:r>
      </w:hyperlink>
      <w:r w:rsidRPr="00232519">
        <w:rPr>
          <w:rFonts w:ascii="Arial" w:eastAsia="Times New Roman" w:hAnsi="Arial" w:cs="Arial"/>
          <w:color w:val="000000"/>
          <w:sz w:val="24"/>
          <w:szCs w:val="24"/>
          <w:lang w:eastAsia="es-BO"/>
        </w:rPr>
        <w:t> </w:t>
      </w:r>
      <w:hyperlink r:id="rId19" w:history="1">
        <w:r w:rsidRPr="00232519">
          <w:rPr>
            <w:rFonts w:ascii="Arial" w:eastAsia="Times New Roman" w:hAnsi="Arial" w:cs="Arial"/>
            <w:color w:val="06357A"/>
            <w:sz w:val="24"/>
            <w:szCs w:val="24"/>
            <w:lang w:eastAsia="es-BO"/>
          </w:rPr>
          <w:t xml:space="preserve">Volver al </w:t>
        </w:r>
        <w:proofErr w:type="spellStart"/>
        <w:r w:rsidRPr="00232519">
          <w:rPr>
            <w:rFonts w:ascii="Arial" w:eastAsia="Times New Roman" w:hAnsi="Arial" w:cs="Arial"/>
            <w:color w:val="06357A"/>
            <w:sz w:val="24"/>
            <w:szCs w:val="24"/>
            <w:lang w:eastAsia="es-BO"/>
          </w:rPr>
          <w:t>indice</w:t>
        </w:r>
        <w:proofErr w:type="spellEnd"/>
      </w:hyperlink>
    </w:p>
    <w:p w:rsidR="00232519" w:rsidRPr="00232519" w:rsidRDefault="00232519" w:rsidP="00232519">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s-BO"/>
        </w:rPr>
      </w:pPr>
      <w:bookmarkStart w:id="4" w:name="articulo-94"/>
      <w:r w:rsidRPr="00232519">
        <w:rPr>
          <w:rFonts w:ascii="Arial" w:eastAsia="Times New Roman" w:hAnsi="Arial" w:cs="Arial"/>
          <w:b/>
          <w:bCs/>
          <w:color w:val="06357A"/>
          <w:sz w:val="24"/>
          <w:szCs w:val="24"/>
          <w:lang w:eastAsia="es-BO"/>
        </w:rPr>
        <w:t>Artículo 94</w:t>
      </w:r>
      <w:bookmarkEnd w:id="4"/>
      <w:r w:rsidRPr="00232519">
        <w:rPr>
          <w:rFonts w:ascii="Arial" w:eastAsia="Times New Roman" w:hAnsi="Arial" w:cs="Arial"/>
          <w:color w:val="000000"/>
          <w:sz w:val="24"/>
          <w:szCs w:val="24"/>
          <w:lang w:eastAsia="es-BO"/>
        </w:rPr>
        <w:t> I. Las universidades privadas se regirán por las políticas, planes, programas y autoridades del sistema educativo. Su funcionamiento será autorizado mediante decreto supremo, previa verificación del cumplimiento de las condiciones y requisitos establecidos por la ley. II. Las universidades privadas estarán autorizadas para expedir diplomas académicos. Los títulos profesionales con validez en todo el país serán otorgados por el Estado. 21 </w:t>
      </w:r>
      <w:bookmarkStart w:id="5" w:name="29"/>
      <w:bookmarkEnd w:id="5"/>
      <w:r w:rsidRPr="00232519">
        <w:rPr>
          <w:rFonts w:ascii="Arial" w:eastAsia="Times New Roman" w:hAnsi="Arial" w:cs="Arial"/>
          <w:color w:val="000000"/>
          <w:sz w:val="24"/>
          <w:szCs w:val="24"/>
          <w:lang w:eastAsia="es-BO"/>
        </w:rPr>
        <w:t>III. En las universidades privadas, para la obtención de los diplomas académicos en todas las modalidades de titulación, se conformarán tribunales examinadores, que estarán integrados por docentes titulares, nombrados por las universidades públicas, en las condiciones establecidas por la ley. El Estado no subvencionará a las universidades privadas.</w:t>
      </w:r>
    </w:p>
    <w:p w:rsidR="00232519" w:rsidRPr="00232519" w:rsidRDefault="00232519" w:rsidP="00232519">
      <w:pPr>
        <w:shd w:val="clear" w:color="auto" w:fill="FFFFFF"/>
        <w:spacing w:before="100" w:beforeAutospacing="1" w:after="100" w:afterAutospacing="1" w:line="240" w:lineRule="auto"/>
        <w:ind w:left="720"/>
        <w:rPr>
          <w:rFonts w:ascii="Arial" w:eastAsia="Times New Roman" w:hAnsi="Arial" w:cs="Arial"/>
          <w:color w:val="000000"/>
          <w:sz w:val="24"/>
          <w:szCs w:val="24"/>
          <w:lang w:eastAsia="es-BO"/>
        </w:rPr>
      </w:pPr>
      <w:hyperlink r:id="rId20" w:history="1">
        <w:r w:rsidRPr="00232519">
          <w:rPr>
            <w:rFonts w:ascii="Arial" w:eastAsia="Times New Roman" w:hAnsi="Arial" w:cs="Arial"/>
            <w:color w:val="06357A"/>
            <w:sz w:val="24"/>
            <w:szCs w:val="24"/>
            <w:lang w:eastAsia="es-BO"/>
          </w:rPr>
          <w:t>Volver al inicio</w:t>
        </w:r>
      </w:hyperlink>
      <w:r w:rsidRPr="00232519">
        <w:rPr>
          <w:rFonts w:ascii="Arial" w:eastAsia="Times New Roman" w:hAnsi="Arial" w:cs="Arial"/>
          <w:color w:val="000000"/>
          <w:sz w:val="24"/>
          <w:szCs w:val="24"/>
          <w:lang w:eastAsia="es-BO"/>
        </w:rPr>
        <w:t> </w:t>
      </w:r>
      <w:hyperlink r:id="rId21" w:history="1">
        <w:r w:rsidRPr="00232519">
          <w:rPr>
            <w:rFonts w:ascii="Arial" w:eastAsia="Times New Roman" w:hAnsi="Arial" w:cs="Arial"/>
            <w:color w:val="06357A"/>
            <w:sz w:val="24"/>
            <w:szCs w:val="24"/>
            <w:lang w:eastAsia="es-BO"/>
          </w:rPr>
          <w:t xml:space="preserve">Volver al </w:t>
        </w:r>
        <w:proofErr w:type="spellStart"/>
        <w:r w:rsidRPr="00232519">
          <w:rPr>
            <w:rFonts w:ascii="Arial" w:eastAsia="Times New Roman" w:hAnsi="Arial" w:cs="Arial"/>
            <w:color w:val="06357A"/>
            <w:sz w:val="24"/>
            <w:szCs w:val="24"/>
            <w:lang w:eastAsia="es-BO"/>
          </w:rPr>
          <w:t>indice</w:t>
        </w:r>
        <w:proofErr w:type="spellEnd"/>
      </w:hyperlink>
    </w:p>
    <w:p w:rsidR="00232519" w:rsidRPr="00232519" w:rsidRDefault="00232519" w:rsidP="00232519">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s-BO"/>
        </w:rPr>
      </w:pPr>
      <w:bookmarkStart w:id="6" w:name="articulo-95"/>
      <w:r w:rsidRPr="00232519">
        <w:rPr>
          <w:rFonts w:ascii="Arial" w:eastAsia="Times New Roman" w:hAnsi="Arial" w:cs="Arial"/>
          <w:b/>
          <w:bCs/>
          <w:color w:val="06357A"/>
          <w:sz w:val="24"/>
          <w:szCs w:val="24"/>
          <w:lang w:eastAsia="es-BO"/>
        </w:rPr>
        <w:t>Artículo 95</w:t>
      </w:r>
      <w:bookmarkEnd w:id="6"/>
      <w:r w:rsidRPr="00232519">
        <w:rPr>
          <w:rFonts w:ascii="Arial" w:eastAsia="Times New Roman" w:hAnsi="Arial" w:cs="Arial"/>
          <w:color w:val="000000"/>
          <w:sz w:val="24"/>
          <w:szCs w:val="24"/>
          <w:lang w:eastAsia="es-BO"/>
        </w:rPr>
        <w:t> El Estado, en coordinación con las universidades públicas, promoverá en áreas rurales la creación y el funcionamiento de universidades e institutos comunitarios pluriculturales, asegurando la participación social. La apertura y funcionamiento de dichas universidades responderá a las necesidades del fortalecimiento productivo de la región, en función de sus potencialidades.</w:t>
      </w:r>
    </w:p>
    <w:p w:rsidR="00232519" w:rsidRPr="00232519" w:rsidRDefault="00232519" w:rsidP="00232519">
      <w:pPr>
        <w:shd w:val="clear" w:color="auto" w:fill="FFFFFF"/>
        <w:spacing w:before="100" w:beforeAutospacing="1" w:after="100" w:afterAutospacing="1" w:line="240" w:lineRule="auto"/>
        <w:ind w:left="720"/>
        <w:rPr>
          <w:rFonts w:ascii="Arial" w:eastAsia="Times New Roman" w:hAnsi="Arial" w:cs="Arial"/>
          <w:color w:val="000000"/>
          <w:sz w:val="24"/>
          <w:szCs w:val="24"/>
          <w:lang w:eastAsia="es-BO"/>
        </w:rPr>
      </w:pPr>
      <w:hyperlink r:id="rId22" w:history="1">
        <w:r w:rsidRPr="00232519">
          <w:rPr>
            <w:rFonts w:ascii="Arial" w:eastAsia="Times New Roman" w:hAnsi="Arial" w:cs="Arial"/>
            <w:color w:val="06357A"/>
            <w:sz w:val="24"/>
            <w:szCs w:val="24"/>
            <w:lang w:eastAsia="es-BO"/>
          </w:rPr>
          <w:t>Volver al inicio</w:t>
        </w:r>
      </w:hyperlink>
      <w:r w:rsidRPr="00232519">
        <w:rPr>
          <w:rFonts w:ascii="Arial" w:eastAsia="Times New Roman" w:hAnsi="Arial" w:cs="Arial"/>
          <w:color w:val="000000"/>
          <w:sz w:val="24"/>
          <w:szCs w:val="24"/>
          <w:lang w:eastAsia="es-BO"/>
        </w:rPr>
        <w:t> </w:t>
      </w:r>
      <w:hyperlink r:id="rId23" w:history="1">
        <w:r w:rsidRPr="00232519">
          <w:rPr>
            <w:rFonts w:ascii="Arial" w:eastAsia="Times New Roman" w:hAnsi="Arial" w:cs="Arial"/>
            <w:color w:val="06357A"/>
            <w:sz w:val="24"/>
            <w:szCs w:val="24"/>
            <w:lang w:eastAsia="es-BO"/>
          </w:rPr>
          <w:t xml:space="preserve">Volver al </w:t>
        </w:r>
        <w:proofErr w:type="spellStart"/>
        <w:r w:rsidRPr="00232519">
          <w:rPr>
            <w:rFonts w:ascii="Arial" w:eastAsia="Times New Roman" w:hAnsi="Arial" w:cs="Arial"/>
            <w:color w:val="06357A"/>
            <w:sz w:val="24"/>
            <w:szCs w:val="24"/>
            <w:lang w:eastAsia="es-BO"/>
          </w:rPr>
          <w:t>indice</w:t>
        </w:r>
        <w:proofErr w:type="spellEnd"/>
      </w:hyperlink>
    </w:p>
    <w:p w:rsidR="00232519" w:rsidRPr="00232519" w:rsidRDefault="00232519" w:rsidP="00232519">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s-BO"/>
        </w:rPr>
      </w:pPr>
      <w:bookmarkStart w:id="7" w:name="articulo-96"/>
      <w:r w:rsidRPr="00232519">
        <w:rPr>
          <w:rFonts w:ascii="Arial" w:eastAsia="Times New Roman" w:hAnsi="Arial" w:cs="Arial"/>
          <w:b/>
          <w:bCs/>
          <w:color w:val="06357A"/>
          <w:sz w:val="24"/>
          <w:szCs w:val="24"/>
          <w:lang w:eastAsia="es-BO"/>
        </w:rPr>
        <w:t>Artículo 96</w:t>
      </w:r>
      <w:bookmarkEnd w:id="7"/>
      <w:r w:rsidRPr="00232519">
        <w:rPr>
          <w:rFonts w:ascii="Arial" w:eastAsia="Times New Roman" w:hAnsi="Arial" w:cs="Arial"/>
          <w:color w:val="000000"/>
          <w:sz w:val="24"/>
          <w:szCs w:val="24"/>
          <w:lang w:eastAsia="es-BO"/>
        </w:rPr>
        <w:t xml:space="preserve"> I. Las universidades deberán crear y sostener centros interculturales de formación y capacitación técnica y cultural, de acceso </w:t>
      </w:r>
      <w:r w:rsidRPr="00232519">
        <w:rPr>
          <w:rFonts w:ascii="Arial" w:eastAsia="Times New Roman" w:hAnsi="Arial" w:cs="Arial"/>
          <w:color w:val="000000"/>
          <w:sz w:val="24"/>
          <w:szCs w:val="24"/>
          <w:lang w:eastAsia="es-BO"/>
        </w:rPr>
        <w:lastRenderedPageBreak/>
        <w:t>libre al pueblo, en concordancia con los principios y fines del sistema educativo. II. Las universidades deberán implementar programas para la recuperación, preservación, desarrollo, aprendizaje y divulgación de las diferentes lenguas de las naciones y pueblos indígena originario campesinos. III. Las universidades promoverán centros de generación de unidades productivas, en coordinación con las iniciativas productivas comunitarias, públicas y privadas. </w:t>
      </w:r>
      <w:r w:rsidRPr="00232519">
        <w:rPr>
          <w:rFonts w:ascii="Arial" w:eastAsia="Times New Roman" w:hAnsi="Arial" w:cs="Arial"/>
          <w:b/>
          <w:bCs/>
          <w:color w:val="000000"/>
          <w:sz w:val="24"/>
          <w:szCs w:val="24"/>
          <w:lang w:eastAsia="es-BO"/>
        </w:rPr>
        <w:t>Artículo 97 I. </w:t>
      </w:r>
      <w:r w:rsidRPr="00232519">
        <w:rPr>
          <w:rFonts w:ascii="Arial" w:eastAsia="Times New Roman" w:hAnsi="Arial" w:cs="Arial"/>
          <w:color w:val="000000"/>
          <w:sz w:val="24"/>
          <w:szCs w:val="24"/>
          <w:lang w:eastAsia="es-BO"/>
        </w:rPr>
        <w:t xml:space="preserve">Es responsabilidad del Estado la formación y capacitación docente para el magisterio, a través de escuelas superiores de formación. La formación de docentes será única, fiscal, gratuita, </w:t>
      </w:r>
      <w:proofErr w:type="spellStart"/>
      <w:r w:rsidRPr="00232519">
        <w:rPr>
          <w:rFonts w:ascii="Arial" w:eastAsia="Times New Roman" w:hAnsi="Arial" w:cs="Arial"/>
          <w:color w:val="000000"/>
          <w:sz w:val="24"/>
          <w:szCs w:val="24"/>
          <w:lang w:eastAsia="es-BO"/>
        </w:rPr>
        <w:t>intracultural</w:t>
      </w:r>
      <w:proofErr w:type="spellEnd"/>
      <w:r w:rsidRPr="00232519">
        <w:rPr>
          <w:rFonts w:ascii="Arial" w:eastAsia="Times New Roman" w:hAnsi="Arial" w:cs="Arial"/>
          <w:color w:val="000000"/>
          <w:sz w:val="24"/>
          <w:szCs w:val="24"/>
          <w:lang w:eastAsia="es-BO"/>
        </w:rPr>
        <w:t>, intercultural, plurilingüe, científica y productiva, y se desarrollará con compromiso social y vocación de servicio.</w:t>
      </w:r>
      <w:r w:rsidRPr="00232519">
        <w:rPr>
          <w:rFonts w:ascii="Arial" w:eastAsia="Times New Roman" w:hAnsi="Arial" w:cs="Arial"/>
          <w:b/>
          <w:bCs/>
          <w:color w:val="000000"/>
          <w:sz w:val="24"/>
          <w:szCs w:val="24"/>
          <w:lang w:eastAsia="es-BO"/>
        </w:rPr>
        <w:t> </w:t>
      </w:r>
      <w:r w:rsidRPr="00232519">
        <w:rPr>
          <w:rFonts w:ascii="Arial" w:eastAsia="Times New Roman" w:hAnsi="Arial" w:cs="Arial"/>
          <w:color w:val="000000"/>
          <w:sz w:val="24"/>
          <w:szCs w:val="24"/>
          <w:lang w:eastAsia="es-BO"/>
        </w:rPr>
        <w:t>II. Los docentes del magisterio deberán participar en procesos de actualización y capacitación pedagógica continua. III. Se garantiza la carrera docente y la inamovilidad del personal docente del magisterio, conforme con la ley. Los docentes gozarán de un salario digno.</w:t>
      </w:r>
    </w:p>
    <w:p w:rsidR="00232519" w:rsidRPr="00232519" w:rsidRDefault="00232519" w:rsidP="00232519">
      <w:pPr>
        <w:shd w:val="clear" w:color="auto" w:fill="FFFFFF"/>
        <w:spacing w:before="100" w:beforeAutospacing="1" w:after="100" w:afterAutospacing="1" w:line="240" w:lineRule="auto"/>
        <w:ind w:left="720"/>
        <w:rPr>
          <w:rFonts w:ascii="Arial" w:eastAsia="Times New Roman" w:hAnsi="Arial" w:cs="Arial"/>
          <w:color w:val="000000"/>
          <w:sz w:val="24"/>
          <w:szCs w:val="24"/>
          <w:lang w:eastAsia="es-BO"/>
        </w:rPr>
      </w:pPr>
      <w:hyperlink r:id="rId24" w:history="1">
        <w:r w:rsidRPr="00232519">
          <w:rPr>
            <w:rFonts w:ascii="Arial" w:eastAsia="Times New Roman" w:hAnsi="Arial" w:cs="Arial"/>
            <w:color w:val="06357A"/>
            <w:sz w:val="24"/>
            <w:szCs w:val="24"/>
            <w:lang w:eastAsia="es-BO"/>
          </w:rPr>
          <w:t>Volver al inicio</w:t>
        </w:r>
      </w:hyperlink>
      <w:r w:rsidRPr="00232519">
        <w:rPr>
          <w:rFonts w:ascii="Arial" w:eastAsia="Times New Roman" w:hAnsi="Arial" w:cs="Arial"/>
          <w:color w:val="000000"/>
          <w:sz w:val="24"/>
          <w:szCs w:val="24"/>
          <w:lang w:eastAsia="es-BO"/>
        </w:rPr>
        <w:t> </w:t>
      </w:r>
      <w:hyperlink r:id="rId25" w:history="1">
        <w:r w:rsidRPr="00232519">
          <w:rPr>
            <w:rFonts w:ascii="Arial" w:eastAsia="Times New Roman" w:hAnsi="Arial" w:cs="Arial"/>
            <w:color w:val="06357A"/>
            <w:sz w:val="24"/>
            <w:szCs w:val="24"/>
            <w:lang w:eastAsia="es-BO"/>
          </w:rPr>
          <w:t xml:space="preserve">Volver al </w:t>
        </w:r>
        <w:proofErr w:type="spellStart"/>
        <w:r w:rsidRPr="00232519">
          <w:rPr>
            <w:rFonts w:ascii="Arial" w:eastAsia="Times New Roman" w:hAnsi="Arial" w:cs="Arial"/>
            <w:color w:val="06357A"/>
            <w:sz w:val="24"/>
            <w:szCs w:val="24"/>
            <w:lang w:eastAsia="es-BO"/>
          </w:rPr>
          <w:t>indice</w:t>
        </w:r>
        <w:proofErr w:type="spellEnd"/>
      </w:hyperlink>
    </w:p>
    <w:p w:rsidR="00232519" w:rsidRPr="00232519" w:rsidRDefault="00232519" w:rsidP="00232519">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s-BO"/>
        </w:rPr>
      </w:pPr>
      <w:bookmarkStart w:id="8" w:name="articulo-98"/>
      <w:r w:rsidRPr="00232519">
        <w:rPr>
          <w:rFonts w:ascii="Arial" w:eastAsia="Times New Roman" w:hAnsi="Arial" w:cs="Arial"/>
          <w:b/>
          <w:bCs/>
          <w:color w:val="06357A"/>
          <w:sz w:val="24"/>
          <w:szCs w:val="24"/>
          <w:lang w:eastAsia="es-BO"/>
        </w:rPr>
        <w:t>Artículo 98</w:t>
      </w:r>
      <w:bookmarkEnd w:id="8"/>
      <w:r w:rsidRPr="00232519">
        <w:rPr>
          <w:rFonts w:ascii="Arial" w:eastAsia="Times New Roman" w:hAnsi="Arial" w:cs="Arial"/>
          <w:color w:val="000000"/>
          <w:sz w:val="24"/>
          <w:szCs w:val="24"/>
          <w:lang w:eastAsia="es-BO"/>
        </w:rPr>
        <w:t xml:space="preserve"> La formación </w:t>
      </w:r>
      <w:proofErr w:type="spellStart"/>
      <w:r w:rsidRPr="00232519">
        <w:rPr>
          <w:rFonts w:ascii="Arial" w:eastAsia="Times New Roman" w:hAnsi="Arial" w:cs="Arial"/>
          <w:color w:val="000000"/>
          <w:sz w:val="24"/>
          <w:szCs w:val="24"/>
          <w:lang w:eastAsia="es-BO"/>
        </w:rPr>
        <w:t>posgradual</w:t>
      </w:r>
      <w:proofErr w:type="spellEnd"/>
      <w:r w:rsidRPr="00232519">
        <w:rPr>
          <w:rFonts w:ascii="Arial" w:eastAsia="Times New Roman" w:hAnsi="Arial" w:cs="Arial"/>
          <w:color w:val="000000"/>
          <w:sz w:val="24"/>
          <w:szCs w:val="24"/>
          <w:lang w:eastAsia="es-BO"/>
        </w:rPr>
        <w:t xml:space="preserve"> en sus diferentes niveles tendrá como misión fundamental la cualificación de profesionales en diferentes áreas, a través de procesos de investigación científica y generación de conocimientos vinculados con la realidad, para coadyuvar con el desarrollo integral de la sociedad. La formación </w:t>
      </w:r>
      <w:proofErr w:type="spellStart"/>
      <w:r w:rsidRPr="00232519">
        <w:rPr>
          <w:rFonts w:ascii="Arial" w:eastAsia="Times New Roman" w:hAnsi="Arial" w:cs="Arial"/>
          <w:color w:val="000000"/>
          <w:sz w:val="24"/>
          <w:szCs w:val="24"/>
          <w:lang w:eastAsia="es-BO"/>
        </w:rPr>
        <w:t>posgradual</w:t>
      </w:r>
      <w:proofErr w:type="spellEnd"/>
      <w:r w:rsidRPr="00232519">
        <w:rPr>
          <w:rFonts w:ascii="Arial" w:eastAsia="Times New Roman" w:hAnsi="Arial" w:cs="Arial"/>
          <w:color w:val="000000"/>
          <w:sz w:val="24"/>
          <w:szCs w:val="24"/>
          <w:lang w:eastAsia="es-BO"/>
        </w:rPr>
        <w:t xml:space="preserve"> será coordinada por una instancia conformada por las universidades del sistema educativo, de acuerdo con la ley. 22</w:t>
      </w:r>
    </w:p>
    <w:p w:rsidR="0039120B" w:rsidRDefault="009645FA">
      <w:bookmarkStart w:id="9" w:name="_GoBack"/>
      <w:bookmarkEnd w:id="9"/>
    </w:p>
    <w:sectPr w:rsidR="003912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D75E7"/>
    <w:multiLevelType w:val="multilevel"/>
    <w:tmpl w:val="EB5CB0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2053E8"/>
    <w:multiLevelType w:val="multilevel"/>
    <w:tmpl w:val="61D0D3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D67"/>
    <w:rsid w:val="00232519"/>
    <w:rsid w:val="00431677"/>
    <w:rsid w:val="00611128"/>
    <w:rsid w:val="009645FA"/>
    <w:rsid w:val="00C27D6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004377">
      <w:bodyDiv w:val="1"/>
      <w:marLeft w:val="0"/>
      <w:marRight w:val="0"/>
      <w:marTop w:val="0"/>
      <w:marBottom w:val="0"/>
      <w:divBdr>
        <w:top w:val="none" w:sz="0" w:space="0" w:color="auto"/>
        <w:left w:val="none" w:sz="0" w:space="0" w:color="auto"/>
        <w:bottom w:val="none" w:sz="0" w:space="0" w:color="auto"/>
        <w:right w:val="none" w:sz="0" w:space="0" w:color="auto"/>
      </w:divBdr>
      <w:divsChild>
        <w:div w:id="17394971">
          <w:marLeft w:val="0"/>
          <w:marRight w:val="0"/>
          <w:marTop w:val="0"/>
          <w:marBottom w:val="0"/>
          <w:divBdr>
            <w:top w:val="none" w:sz="0" w:space="0" w:color="auto"/>
            <w:left w:val="none" w:sz="0" w:space="0" w:color="auto"/>
            <w:bottom w:val="none" w:sz="0" w:space="0" w:color="auto"/>
            <w:right w:val="none" w:sz="0" w:space="0" w:color="auto"/>
          </w:divBdr>
        </w:div>
        <w:div w:id="162016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livia.justia.com/nacionales/nueva-constitucion-politica-del-estado/primera-parte/titulo-ii/capitulo-sexto/seccion-ii/" TargetMode="External"/><Relationship Id="rId13" Type="http://schemas.openxmlformats.org/officeDocument/2006/relationships/hyperlink" Target="https://bolivia.justia.com/nacionales/nueva-constitucion-politica-del-estado/primera-parte/titulo-ii/capitulo-sexto/seccion-ii/" TargetMode="External"/><Relationship Id="rId18" Type="http://schemas.openxmlformats.org/officeDocument/2006/relationships/hyperlink" Target="https://bolivia.justia.com/nacionales/nueva-constitucion-politica-del-estado/primera-parte/titulo-ii/capitulo-sexto/seccion-ii/"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bolivia.justia.com/nacionales/nueva-constitucion-politica-del-estado/" TargetMode="External"/><Relationship Id="rId7" Type="http://schemas.openxmlformats.org/officeDocument/2006/relationships/hyperlink" Target="https://bolivia.justia.com/nacionales/nueva-constitucion-politica-del-estado/primera-parte/titulo-ii/capitulo-sexto/seccion-ii/" TargetMode="External"/><Relationship Id="rId12" Type="http://schemas.openxmlformats.org/officeDocument/2006/relationships/hyperlink" Target="https://bolivia.justia.com/nacionales/nueva-constitucion-politica-del-estado/primera-parte/titulo-ii/capitulo-sexto/seccion-ii/" TargetMode="External"/><Relationship Id="rId17" Type="http://schemas.openxmlformats.org/officeDocument/2006/relationships/hyperlink" Target="https://bolivia.justia.com/nacionales/nueva-constitucion-politica-del-estado/" TargetMode="External"/><Relationship Id="rId25" Type="http://schemas.openxmlformats.org/officeDocument/2006/relationships/hyperlink" Target="https://bolivia.justia.com/nacionales/nueva-constitucion-politica-del-estado/" TargetMode="External"/><Relationship Id="rId2" Type="http://schemas.openxmlformats.org/officeDocument/2006/relationships/styles" Target="styles.xml"/><Relationship Id="rId16" Type="http://schemas.openxmlformats.org/officeDocument/2006/relationships/hyperlink" Target="https://bolivia.justia.com/nacionales/nueva-constitucion-politica-del-estado/primera-parte/titulo-ii/capitulo-sexto/seccion-ii/" TargetMode="External"/><Relationship Id="rId20" Type="http://schemas.openxmlformats.org/officeDocument/2006/relationships/hyperlink" Target="https://bolivia.justia.com/nacionales/nueva-constitucion-politica-del-estado/primera-parte/titulo-ii/capitulo-sexto/seccion-ii/" TargetMode="External"/><Relationship Id="rId1" Type="http://schemas.openxmlformats.org/officeDocument/2006/relationships/numbering" Target="numbering.xml"/><Relationship Id="rId6" Type="http://schemas.openxmlformats.org/officeDocument/2006/relationships/hyperlink" Target="https://bolivia.justia.com/nacionales/nueva-constitucion-politica-del-estado/primera-parte/titulo-ii/capitulo-sexto/seccion-ii/" TargetMode="External"/><Relationship Id="rId11" Type="http://schemas.openxmlformats.org/officeDocument/2006/relationships/hyperlink" Target="https://bolivia.justia.com/nacionales/nueva-constitucion-politica-del-estado/primera-parte/titulo-ii/capitulo-sexto/seccion-ii/" TargetMode="External"/><Relationship Id="rId24" Type="http://schemas.openxmlformats.org/officeDocument/2006/relationships/hyperlink" Target="https://bolivia.justia.com/nacionales/nueva-constitucion-politica-del-estado/primera-parte/titulo-ii/capitulo-sexto/seccion-ii/" TargetMode="External"/><Relationship Id="rId5" Type="http://schemas.openxmlformats.org/officeDocument/2006/relationships/webSettings" Target="webSettings.xml"/><Relationship Id="rId15" Type="http://schemas.openxmlformats.org/officeDocument/2006/relationships/hyperlink" Target="https://bolivia.justia.com/nacionales/nueva-constitucion-politica-del-estado/" TargetMode="External"/><Relationship Id="rId23" Type="http://schemas.openxmlformats.org/officeDocument/2006/relationships/hyperlink" Target="https://bolivia.justia.com/nacionales/nueva-constitucion-politica-del-estado/" TargetMode="External"/><Relationship Id="rId10" Type="http://schemas.openxmlformats.org/officeDocument/2006/relationships/hyperlink" Target="https://bolivia.justia.com/nacionales/nueva-constitucion-politica-del-estado/primera-parte/titulo-ii/capitulo-sexto/seccion-ii/" TargetMode="External"/><Relationship Id="rId19" Type="http://schemas.openxmlformats.org/officeDocument/2006/relationships/hyperlink" Target="https://bolivia.justia.com/nacionales/nueva-constitucion-politica-del-estado/" TargetMode="External"/><Relationship Id="rId4" Type="http://schemas.openxmlformats.org/officeDocument/2006/relationships/settings" Target="settings.xml"/><Relationship Id="rId9" Type="http://schemas.openxmlformats.org/officeDocument/2006/relationships/hyperlink" Target="https://bolivia.justia.com/nacionales/nueva-constitucion-politica-del-estado/primera-parte/titulo-ii/capitulo-sexto/seccion-ii/" TargetMode="External"/><Relationship Id="rId14" Type="http://schemas.openxmlformats.org/officeDocument/2006/relationships/hyperlink" Target="https://bolivia.justia.com/nacionales/nueva-constitucion-politica-del-estado/primera-parte/titulo-ii/capitulo-sexto/seccion-ii/" TargetMode="External"/><Relationship Id="rId22" Type="http://schemas.openxmlformats.org/officeDocument/2006/relationships/hyperlink" Target="https://bolivia.justia.com/nacionales/nueva-constitucion-politica-del-estado/primera-parte/titulo-ii/capitulo-sexto/seccion-ii/"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1354</Words>
  <Characters>7447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HP1000</dc:creator>
  <cp:lastModifiedBy>HP1000</cp:lastModifiedBy>
  <cp:revision>2</cp:revision>
  <dcterms:created xsi:type="dcterms:W3CDTF">2018-09-11T22:21:00Z</dcterms:created>
  <dcterms:modified xsi:type="dcterms:W3CDTF">2018-09-11T22:21:00Z</dcterms:modified>
</cp:coreProperties>
</file>