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50" w:rsidRPr="00535708" w:rsidRDefault="00B82250" w:rsidP="00B82250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Centaur" w:eastAsia="Times New Roman" w:hAnsi="Centaur" w:cs="Times New Roman"/>
          <w:b/>
          <w:color w:val="000000" w:themeColor="text1"/>
          <w:sz w:val="48"/>
          <w:szCs w:val="48"/>
          <w:lang w:eastAsia="es-ES"/>
        </w:rPr>
      </w:pPr>
      <w:r w:rsidRPr="00B82250">
        <w:rPr>
          <w:rFonts w:ascii="Centaur" w:eastAsia="Times New Roman" w:hAnsi="Centaur" w:cs="Times New Roman"/>
          <w:b/>
          <w:color w:val="000000" w:themeColor="text1"/>
          <w:sz w:val="48"/>
          <w:szCs w:val="48"/>
          <w:lang w:eastAsia="es-ES"/>
        </w:rPr>
        <w:t>¿Qué es el formato SCORM?</w:t>
      </w:r>
    </w:p>
    <w:p w:rsidR="00535708" w:rsidRPr="00B82250" w:rsidRDefault="00535708" w:rsidP="00B82250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color w:val="333333"/>
          <w:sz w:val="39"/>
          <w:szCs w:val="39"/>
          <w:lang w:eastAsia="es-ES"/>
        </w:rPr>
      </w:pPr>
    </w:p>
    <w:p w:rsidR="00B82250" w:rsidRPr="00535708" w:rsidRDefault="00B82250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El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SCORM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es un acrónimo formado por las siglas en inglés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“Sharable Content Object Reference Model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” que significa un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conjunto de estándares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y especificaciones que permite crear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objetos pedagógicos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estructurados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.</w:t>
      </w:r>
    </w:p>
    <w:p w:rsidR="00535708" w:rsidRPr="00B82250" w:rsidRDefault="00535708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  <w:bookmarkStart w:id="0" w:name="_GoBack"/>
      <w:bookmarkEnd w:id="0"/>
    </w:p>
    <w:p w:rsidR="00B82250" w:rsidRPr="00B82250" w:rsidRDefault="00B82250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Los </w:t>
      </w:r>
      <w:hyperlink r:id="rId5" w:tgtFrame="_blank" w:history="1">
        <w:r w:rsidRPr="00535708">
          <w:rPr>
            <w:rFonts w:ascii="Centaur" w:eastAsia="Times New Roman" w:hAnsi="Centaur" w:cs="Times New Roman"/>
            <w:color w:val="000000" w:themeColor="text1"/>
            <w:sz w:val="28"/>
            <w:szCs w:val="28"/>
            <w:bdr w:val="none" w:sz="0" w:space="0" w:color="auto" w:frame="1"/>
            <w:lang w:eastAsia="es-ES"/>
          </w:rPr>
          <w:t>sistemas de gestión</w:t>
        </w:r>
      </w:hyperlink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de contenidos online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que tengan contenidos con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formato SCORM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es posible crear contenidos que puedan importarse dentro de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sistemas de gestión de aprendizaje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diferentes, siempre que estos soporten la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norma SCORM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.</w:t>
      </w:r>
    </w:p>
    <w:p w:rsidR="00B82250" w:rsidRPr="00535708" w:rsidRDefault="00B82250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</w:pP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Los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contenidos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que tienen este formato siguen los siguientes requerimientos: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Interoperabilidad, Reusabilidad, Manejabilidad, Accesibilidad, Durabilidad, Escalabilidad y Efectividad de los costes.</w:t>
      </w:r>
    </w:p>
    <w:p w:rsidR="00535708" w:rsidRPr="00B82250" w:rsidRDefault="00535708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666666"/>
          <w:sz w:val="28"/>
          <w:szCs w:val="28"/>
          <w:lang w:eastAsia="es-ES"/>
        </w:rPr>
      </w:pPr>
    </w:p>
    <w:p w:rsidR="00B82250" w:rsidRPr="00535708" w:rsidRDefault="00B82250" w:rsidP="0053570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Centaur" w:eastAsia="Times New Roman" w:hAnsi="Centaur" w:cs="Times New Roman"/>
          <w:b/>
          <w:color w:val="333333"/>
          <w:sz w:val="32"/>
          <w:szCs w:val="32"/>
          <w:lang w:eastAsia="es-ES"/>
        </w:rPr>
      </w:pPr>
      <w:r w:rsidRPr="00B82250">
        <w:rPr>
          <w:rFonts w:ascii="Centaur" w:eastAsia="Times New Roman" w:hAnsi="Centaur" w:cs="Times New Roman"/>
          <w:b/>
          <w:color w:val="333333"/>
          <w:sz w:val="32"/>
          <w:szCs w:val="32"/>
          <w:lang w:eastAsia="es-ES"/>
        </w:rPr>
        <w:t>7 características del formato SCORM</w:t>
      </w:r>
    </w:p>
    <w:p w:rsidR="00B82250" w:rsidRPr="00B82250" w:rsidRDefault="00B82250" w:rsidP="00B82250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Centaur" w:eastAsia="Times New Roman" w:hAnsi="Centaur" w:cs="Times New Roman"/>
          <w:color w:val="333333"/>
          <w:sz w:val="28"/>
          <w:szCs w:val="28"/>
          <w:lang w:eastAsia="es-ES"/>
        </w:rPr>
      </w:pPr>
    </w:p>
    <w:p w:rsidR="00B82250" w:rsidRPr="00B82250" w:rsidRDefault="00B82250" w:rsidP="00535708">
      <w:pPr>
        <w:shd w:val="clear" w:color="auto" w:fill="FFFFFF"/>
        <w:spacing w:after="0" w:line="240" w:lineRule="auto"/>
        <w:jc w:val="center"/>
        <w:textAlignment w:val="baseline"/>
        <w:rPr>
          <w:rFonts w:ascii="Centaur" w:eastAsia="Times New Roman" w:hAnsi="Centaur" w:cs="Times New Roman"/>
          <w:color w:val="666666"/>
          <w:sz w:val="28"/>
          <w:szCs w:val="28"/>
          <w:lang w:eastAsia="es-ES"/>
        </w:rPr>
      </w:pPr>
      <w:r w:rsidRPr="00B82250">
        <w:rPr>
          <w:rFonts w:ascii="Centaur" w:eastAsia="Times New Roman" w:hAnsi="Centaur" w:cs="Times New Roman"/>
          <w:noProof/>
          <w:color w:val="666666"/>
          <w:sz w:val="28"/>
          <w:szCs w:val="28"/>
          <w:lang w:eastAsia="es-ES"/>
        </w:rPr>
        <w:drawing>
          <wp:inline distT="0" distB="0" distL="0" distR="0" wp14:anchorId="7F444FB1" wp14:editId="3878C3C4">
            <wp:extent cx="4037314" cy="2252692"/>
            <wp:effectExtent l="0" t="0" r="1905" b="0"/>
            <wp:docPr id="7" name="Imagen 7" descr="formato-scorm-e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ato-scorm-elear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75" cy="225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50" w:rsidRPr="00B82250" w:rsidRDefault="00B82250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bCs/>
          <w:color w:val="333333"/>
          <w:sz w:val="28"/>
          <w:szCs w:val="28"/>
          <w:bdr w:val="none" w:sz="0" w:space="0" w:color="auto" w:frame="1"/>
          <w:lang w:eastAsia="es-ES"/>
        </w:rPr>
      </w:pPr>
    </w:p>
    <w:p w:rsidR="00B82250" w:rsidRDefault="00B82250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</w:pPr>
      <w:r w:rsidRPr="00535708"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#1 El formato SCORM sigue la interoperabilidad</w:t>
      </w:r>
    </w:p>
    <w:p w:rsidR="00535708" w:rsidRPr="00B82250" w:rsidRDefault="00535708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color w:val="000000" w:themeColor="text1"/>
          <w:sz w:val="28"/>
          <w:szCs w:val="28"/>
          <w:lang w:eastAsia="es-ES"/>
        </w:rPr>
      </w:pPr>
    </w:p>
    <w:p w:rsidR="00B82250" w:rsidRPr="00535708" w:rsidRDefault="00B82250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¿Cree que una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plataforma de gestión del aprendizaje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puede exhibir y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administrar los contenidos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creados para otra plataforma? La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interoperabilidad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ofrece la capacidad de que una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plataforma de gestión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del aprendizaje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pueda exhibir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contenidos con formato SCORM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independientemente de cómo fueran creados y de producir contenidos independientemente de la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plataforma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en la cual serán incorporados. Los contenidos con</w:t>
      </w:r>
      <w:r w:rsidR="00535708" w:rsidRPr="00535708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 xml:space="preserve"> 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formato SCORM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siguen el requerimiento de la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interoperabilidad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, facilitando la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producción de contenidos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para generar cursos que pueden ser montados en cualquier plataforma.</w:t>
      </w:r>
    </w:p>
    <w:p w:rsidR="00535708" w:rsidRPr="00B82250" w:rsidRDefault="00535708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</w:p>
    <w:p w:rsidR="00B82250" w:rsidRDefault="00B82250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</w:pPr>
      <w:r w:rsidRPr="00535708"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#2 El formato SCORM es reusable</w:t>
      </w:r>
    </w:p>
    <w:p w:rsidR="00535708" w:rsidRPr="00B82250" w:rsidRDefault="00535708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color w:val="000000" w:themeColor="text1"/>
          <w:sz w:val="28"/>
          <w:szCs w:val="28"/>
          <w:lang w:eastAsia="es-ES"/>
        </w:rPr>
      </w:pPr>
    </w:p>
    <w:p w:rsidR="00B82250" w:rsidRPr="00535708" w:rsidRDefault="00B82250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La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reusabilidad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, es otra de las cualidades del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formato SCORM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, que logra disminuir los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tiempos de producción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y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aumentar la calidad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 xml:space="preserve"> de los contenidos. En lugar de 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lastRenderedPageBreak/>
        <w:t>comenzar de cero, la reusabilidad de este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formato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permite reutilizar lo que ya existe y, si es necesario, poder mejorarlo. Es decir, un</w:t>
      </w:r>
      <w:hyperlink r:id="rId7" w:tgtFrame="_blank" w:history="1">
        <w:r w:rsidRPr="00535708">
          <w:rPr>
            <w:rFonts w:ascii="Centaur" w:eastAsia="Times New Roman" w:hAnsi="Centaur" w:cs="Times New Roman"/>
            <w:color w:val="000000" w:themeColor="text1"/>
            <w:sz w:val="28"/>
            <w:szCs w:val="28"/>
            <w:bdr w:val="none" w:sz="0" w:space="0" w:color="auto" w:frame="1"/>
            <w:lang w:eastAsia="es-ES"/>
          </w:rPr>
          <w:t xml:space="preserve"> curso </w:t>
        </w:r>
        <w:r w:rsidR="00535708" w:rsidRPr="00535708">
          <w:rPr>
            <w:rFonts w:ascii="Centaur" w:eastAsia="Times New Roman" w:hAnsi="Centaur" w:cs="Times New Roman"/>
            <w:color w:val="000000" w:themeColor="text1"/>
            <w:sz w:val="28"/>
            <w:szCs w:val="28"/>
            <w:bdr w:val="none" w:sz="0" w:space="0" w:color="auto" w:frame="1"/>
            <w:lang w:eastAsia="es-ES"/>
          </w:rPr>
          <w:t>e-learning</w:t>
        </w:r>
      </w:hyperlink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puede ser reutilizado en otro curso o en otro contexto sin problema si esos cursos siguen el formato SCORM/AICC. Además también podrá crear un curso en su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plataforma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combinando componentes creados para otras plataformas.</w:t>
      </w:r>
    </w:p>
    <w:p w:rsidR="00535708" w:rsidRPr="00B82250" w:rsidRDefault="00535708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</w:p>
    <w:p w:rsidR="00B82250" w:rsidRDefault="00B82250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</w:pPr>
      <w:r w:rsidRPr="00535708"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#3 El formato SCORM es manejable</w:t>
      </w:r>
    </w:p>
    <w:p w:rsidR="00535708" w:rsidRPr="00B82250" w:rsidRDefault="00535708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color w:val="000000" w:themeColor="text1"/>
          <w:sz w:val="28"/>
          <w:szCs w:val="28"/>
          <w:lang w:eastAsia="es-ES"/>
        </w:rPr>
      </w:pPr>
    </w:p>
    <w:p w:rsidR="00B82250" w:rsidRPr="00535708" w:rsidRDefault="00B82250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Gracias a la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manejabilidad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del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formato SCORM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su plataforma de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gestión del aprendizaje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puede registrar la actividad entre el usuario y el contenido, es decir el tutor o gestor puede saber y ver de primera mano qué alumnos están participando en el curso y con qué frecuencia, cuál ha sido el resultado de la evaluación, etc. El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formato AICC/SCORM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, es la mejor solución para poder hacer un seguimiento personalizado de una clase o de un grupo grande de alumnos en un simple vistazo. Además a través de este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formato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, el tutor o profesor puede saber el nombre del alumno que está leyendo la actividad de la lección del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 xml:space="preserve">curso </w:t>
      </w:r>
      <w:r w:rsidR="00535708"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e-learning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y conocer si es la primera vez que lo lee o si ha estado más veces en esa misma lección. Estas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propiedades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se consiguen definiendo una forma de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comunicación estándar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entre la plataforma y los contenidos.</w:t>
      </w:r>
    </w:p>
    <w:p w:rsidR="00535708" w:rsidRPr="00B82250" w:rsidRDefault="00535708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</w:p>
    <w:p w:rsidR="00B82250" w:rsidRDefault="00B82250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</w:pPr>
      <w:r w:rsidRPr="00535708"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#4 El formato SCORM tiene accesibilidad</w:t>
      </w:r>
    </w:p>
    <w:p w:rsidR="00535708" w:rsidRPr="00B82250" w:rsidRDefault="00535708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color w:val="000000" w:themeColor="text1"/>
          <w:sz w:val="28"/>
          <w:szCs w:val="28"/>
          <w:lang w:eastAsia="es-ES"/>
        </w:rPr>
      </w:pPr>
    </w:p>
    <w:p w:rsidR="00B82250" w:rsidRPr="00535708" w:rsidRDefault="00B82250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La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accesibilidad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del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formato SCORM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permite a los usuarios acceder al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contenido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 xml:space="preserve"> 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apropiado en el momento justo y desde el lugar en dónde se encuentren. El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 xml:space="preserve"> contenido del curso 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e-learning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está siempre accesible desde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cualquier dispositivo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y se puede acceder siempre que se quiera a ese contenido, pudiendo así adelantar la materia al ritmo de cada alumno.</w:t>
      </w:r>
    </w:p>
    <w:p w:rsidR="00535708" w:rsidRPr="00B82250" w:rsidRDefault="00535708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</w:p>
    <w:p w:rsidR="00B82250" w:rsidRDefault="00B82250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</w:pPr>
      <w:r w:rsidRPr="00535708"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#5 El formato SCORM tiene durabilidad</w:t>
      </w:r>
    </w:p>
    <w:p w:rsidR="00535708" w:rsidRPr="00B82250" w:rsidRDefault="00535708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color w:val="000000" w:themeColor="text1"/>
          <w:sz w:val="28"/>
          <w:szCs w:val="28"/>
          <w:lang w:eastAsia="es-ES"/>
        </w:rPr>
      </w:pPr>
    </w:p>
    <w:p w:rsidR="00B82250" w:rsidRPr="00535708" w:rsidRDefault="00B82250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La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durabilidad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es capaz de soportar las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tecnologías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que se utilizarán en el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futuro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para el desarrollo de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contenidos y plataformas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, ya que este principio está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destinado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a impedir la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obsolescencia tecnológica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de los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contenidos con formato SCORM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y de los</w:t>
      </w:r>
      <w:r w:rsidRPr="00535708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 xml:space="preserve"> 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estándares SCORM/AICC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.</w:t>
      </w:r>
    </w:p>
    <w:p w:rsidR="00535708" w:rsidRPr="00B82250" w:rsidRDefault="00535708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</w:p>
    <w:p w:rsidR="00B82250" w:rsidRDefault="00B82250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</w:pPr>
      <w:r w:rsidRPr="00535708"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#6 El formato SCORM es Escalable</w:t>
      </w:r>
    </w:p>
    <w:p w:rsidR="00535708" w:rsidRPr="00B82250" w:rsidRDefault="00535708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color w:val="000000" w:themeColor="text1"/>
          <w:sz w:val="28"/>
          <w:szCs w:val="28"/>
          <w:lang w:eastAsia="es-ES"/>
        </w:rPr>
      </w:pPr>
    </w:p>
    <w:p w:rsidR="00B82250" w:rsidRPr="00535708" w:rsidRDefault="00B82250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La propiedad de la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escalabilidad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de los contenidos con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formato SCORM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, permiten crear más contenidos, más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materiales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, más variedad de forma sencilla e independiente de la plataforma. Además puede la plataforma expandir sus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funcionalidades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, el número de cursos publicados, la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cantidad de usuarios soportados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de forma independiente a la estructura de los cursos. Es decir, la escalabilidad posibilita el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retorno de la inversión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en el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e-learning al 100%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.</w:t>
      </w:r>
    </w:p>
    <w:p w:rsidR="00535708" w:rsidRPr="00B82250" w:rsidRDefault="00535708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</w:p>
    <w:p w:rsidR="00B82250" w:rsidRDefault="00B82250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</w:pPr>
      <w:r w:rsidRPr="00535708">
        <w:rPr>
          <w:rFonts w:ascii="Centaur" w:eastAsia="Times New Roman" w:hAnsi="Centaur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#7 El formato SCORM tiene efectividad en los costes</w:t>
      </w:r>
    </w:p>
    <w:p w:rsidR="00535708" w:rsidRPr="00B82250" w:rsidRDefault="00535708" w:rsidP="00B82250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Centaur" w:eastAsia="Times New Roman" w:hAnsi="Centaur" w:cs="Times New Roman"/>
          <w:b/>
          <w:color w:val="000000" w:themeColor="text1"/>
          <w:sz w:val="28"/>
          <w:szCs w:val="28"/>
          <w:lang w:eastAsia="es-ES"/>
        </w:rPr>
      </w:pPr>
    </w:p>
    <w:p w:rsidR="00B82250" w:rsidRPr="00B82250" w:rsidRDefault="00B82250" w:rsidP="00B82250">
      <w:pPr>
        <w:shd w:val="clear" w:color="auto" w:fill="FFFFFF"/>
        <w:spacing w:after="0" w:line="240" w:lineRule="auto"/>
        <w:jc w:val="both"/>
        <w:textAlignment w:val="baseline"/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</w:pP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Esta última, no es tanto una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propiedad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de las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contenidos SCORM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sino es más bien un beneficio derivado de los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principios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descritos anteriormente. Este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beneficio adicional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es la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reducción de costes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, ya que, entre otras cosas los </w:t>
      </w:r>
      <w:hyperlink r:id="rId8" w:tgtFrame="_blank" w:history="1">
        <w:r w:rsidRPr="00535708">
          <w:rPr>
            <w:rFonts w:ascii="Centaur" w:eastAsia="Times New Roman" w:hAnsi="Centaur" w:cs="Times New Roman"/>
            <w:color w:val="000000" w:themeColor="text1"/>
            <w:sz w:val="28"/>
            <w:szCs w:val="28"/>
            <w:bdr w:val="none" w:sz="0" w:space="0" w:color="auto" w:frame="1"/>
            <w:lang w:eastAsia="es-ES"/>
          </w:rPr>
          <w:t>contenidos</w:t>
        </w:r>
      </w:hyperlink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con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 formato SCORM</w:t>
      </w:r>
      <w:r w:rsidR="00535708"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 xml:space="preserve"> 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permiten una distribución de la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enseñanza – aprendizaje económica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, facilitando el acceso en cualquier lugar y momento desde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cualquier dispositivo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. Además puede ahorrar costes en viajes y movilización, también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ahorra tiempo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 a los profesores facilitando que tanto ellos como los alumnos administren eficientemente su tiempo y horario de estudio. Además de toda esta </w:t>
      </w:r>
      <w:r w:rsidRPr="00535708">
        <w:rPr>
          <w:rFonts w:ascii="Centaur" w:eastAsia="Times New Roman" w:hAnsi="Centaur" w:cs="Times New Roman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reducción de costes</w:t>
      </w:r>
      <w:r w:rsidRPr="00B82250">
        <w:rPr>
          <w:rFonts w:ascii="Centaur" w:eastAsia="Times New Roman" w:hAnsi="Centaur" w:cs="Times New Roman"/>
          <w:color w:val="000000" w:themeColor="text1"/>
          <w:sz w:val="28"/>
          <w:szCs w:val="28"/>
          <w:lang w:eastAsia="es-ES"/>
        </w:rPr>
        <w:t>, cabe añadir, la mejora del aprendizaje de los estudiantes ya que reduce el tiempo de aprendizaje y reduce los costes de producción de esos contenidos.</w:t>
      </w:r>
    </w:p>
    <w:p w:rsidR="00B64F7C" w:rsidRPr="00535708" w:rsidRDefault="00B64F7C" w:rsidP="00B82250">
      <w:pPr>
        <w:jc w:val="both"/>
        <w:rPr>
          <w:rFonts w:ascii="Centaur" w:hAnsi="Centaur" w:cs="Arial"/>
          <w:color w:val="000000" w:themeColor="text1"/>
          <w:sz w:val="28"/>
          <w:szCs w:val="28"/>
        </w:rPr>
      </w:pPr>
    </w:p>
    <w:sectPr w:rsidR="00B64F7C" w:rsidRPr="00535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14BE"/>
    <w:multiLevelType w:val="multilevel"/>
    <w:tmpl w:val="00DC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C"/>
    <w:rsid w:val="00066C80"/>
    <w:rsid w:val="00294BD3"/>
    <w:rsid w:val="00535708"/>
    <w:rsid w:val="00634D22"/>
    <w:rsid w:val="00B64F7C"/>
    <w:rsid w:val="00B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C70F"/>
  <w15:chartTrackingRefBased/>
  <w15:docId w15:val="{26D9E148-D7EA-4BE9-9695-D89AF204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.net/?page_id=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e.net/?page_id=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ae.net/?page_id=55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 Universidad</dc:creator>
  <cp:keywords/>
  <dc:description/>
  <cp:lastModifiedBy>ISAE Universidad</cp:lastModifiedBy>
  <cp:revision>2</cp:revision>
  <dcterms:created xsi:type="dcterms:W3CDTF">2017-12-30T16:17:00Z</dcterms:created>
  <dcterms:modified xsi:type="dcterms:W3CDTF">2017-12-30T16:17:00Z</dcterms:modified>
</cp:coreProperties>
</file>