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BE1" w:rsidRDefault="006E1BE1" w:rsidP="006E1BE1">
      <w:pPr>
        <w:shd w:val="clear" w:color="auto" w:fill="FFFFFF"/>
        <w:spacing w:after="360" w:line="300" w:lineRule="atLeast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3"/>
          <w:lang w:eastAsia="es-ES"/>
        </w:rPr>
      </w:pPr>
      <w:r w:rsidRPr="006E1BE1">
        <w:rPr>
          <w:rFonts w:ascii="Arial" w:eastAsia="Times New Roman" w:hAnsi="Arial" w:cs="Arial"/>
          <w:b/>
          <w:color w:val="000000"/>
          <w:sz w:val="28"/>
          <w:szCs w:val="23"/>
          <w:lang w:eastAsia="es-ES"/>
        </w:rPr>
        <w:t xml:space="preserve">¡Qué </w:t>
      </w:r>
      <w:r>
        <w:rPr>
          <w:rFonts w:ascii="Arial" w:eastAsia="Times New Roman" w:hAnsi="Arial" w:cs="Arial"/>
          <w:b/>
          <w:color w:val="000000"/>
          <w:sz w:val="28"/>
          <w:szCs w:val="23"/>
          <w:lang w:eastAsia="es-ES"/>
        </w:rPr>
        <w:t xml:space="preserve">es </w:t>
      </w:r>
      <w:bookmarkStart w:id="0" w:name="_GoBack"/>
      <w:bookmarkEnd w:id="0"/>
      <w:r w:rsidRPr="006E1BE1">
        <w:rPr>
          <w:rFonts w:ascii="Arial" w:eastAsia="Times New Roman" w:hAnsi="Arial" w:cs="Arial"/>
          <w:b/>
          <w:color w:val="000000"/>
          <w:sz w:val="28"/>
          <w:szCs w:val="23"/>
          <w:lang w:eastAsia="es-ES"/>
        </w:rPr>
        <w:t>un contenido de e-learning?</w:t>
      </w:r>
    </w:p>
    <w:p w:rsidR="006E1BE1" w:rsidRDefault="006E1BE1" w:rsidP="006E1BE1">
      <w:pPr>
        <w:shd w:val="clear" w:color="auto" w:fill="FFFFFF"/>
        <w:spacing w:after="360" w:line="300" w:lineRule="atLeast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3"/>
          <w:lang w:eastAsia="es-ES"/>
        </w:rPr>
      </w:pPr>
    </w:p>
    <w:p w:rsidR="006E1BE1" w:rsidRPr="006E1BE1" w:rsidRDefault="006E1BE1" w:rsidP="006E1BE1">
      <w:pPr>
        <w:shd w:val="clear" w:color="auto" w:fill="FFFFFF"/>
        <w:spacing w:after="360" w:line="300" w:lineRule="atLeast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6E1BE1">
        <w:rPr>
          <w:rFonts w:ascii="Arial" w:hAnsi="Arial" w:cs="Arial"/>
          <w:color w:val="222222"/>
          <w:sz w:val="24"/>
          <w:szCs w:val="24"/>
          <w:shd w:val="clear" w:color="auto" w:fill="FFFFFF"/>
        </w:rPr>
        <w:t>Definición. Aunque </w:t>
      </w:r>
      <w:r w:rsidRPr="006E1BE1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e</w:t>
      </w:r>
      <w:r w:rsidRPr="006E1BE1">
        <w:rPr>
          <w:rFonts w:ascii="Arial" w:hAnsi="Arial" w:cs="Arial"/>
          <w:color w:val="222222"/>
          <w:sz w:val="24"/>
          <w:szCs w:val="24"/>
          <w:shd w:val="clear" w:color="auto" w:fill="FFFFFF"/>
        </w:rPr>
        <w:t>-</w:t>
      </w:r>
      <w:r w:rsidRPr="006E1BE1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Learning</w:t>
      </w:r>
      <w:r w:rsidRPr="006E1BE1">
        <w:rPr>
          <w:rFonts w:ascii="Arial" w:hAnsi="Arial" w:cs="Arial"/>
          <w:color w:val="222222"/>
          <w:sz w:val="24"/>
          <w:szCs w:val="24"/>
          <w:shd w:val="clear" w:color="auto" w:fill="FFFFFF"/>
        </w:rPr>
        <w:t> no es un término castellano, su uso se ha generalizado de tal forma </w:t>
      </w:r>
      <w:r w:rsidRPr="006E1BE1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que es</w:t>
      </w:r>
      <w:r w:rsidRPr="006E1B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el más extendido a nivel mundial. Existen otros términos, que significan prácticamente lo mismo y a veces se usan como sinónimos, tales como: </w:t>
      </w:r>
      <w:proofErr w:type="spellStart"/>
      <w:r w:rsidRPr="006E1BE1">
        <w:rPr>
          <w:rFonts w:ascii="Arial" w:hAnsi="Arial" w:cs="Arial"/>
          <w:color w:val="222222"/>
          <w:sz w:val="24"/>
          <w:szCs w:val="24"/>
          <w:shd w:val="clear" w:color="auto" w:fill="FFFFFF"/>
        </w:rPr>
        <w:t>teleformación</w:t>
      </w:r>
      <w:proofErr w:type="spellEnd"/>
      <w:r w:rsidRPr="006E1BE1">
        <w:rPr>
          <w:rFonts w:ascii="Arial" w:hAnsi="Arial" w:cs="Arial"/>
          <w:color w:val="222222"/>
          <w:sz w:val="24"/>
          <w:szCs w:val="24"/>
          <w:shd w:val="clear" w:color="auto" w:fill="FFFFFF"/>
        </w:rPr>
        <w:t>, formación on-line, enseñanza virtual, etc.</w:t>
      </w:r>
    </w:p>
    <w:p w:rsidR="006E1BE1" w:rsidRPr="006E1BE1" w:rsidRDefault="006E1BE1" w:rsidP="006E1BE1">
      <w:pPr>
        <w:shd w:val="clear" w:color="auto" w:fill="FFFFFF"/>
        <w:spacing w:after="36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3"/>
          <w:lang w:eastAsia="es-ES"/>
        </w:rPr>
      </w:pPr>
      <w:r w:rsidRPr="006E1BE1">
        <w:rPr>
          <w:rFonts w:ascii="Arial" w:eastAsia="Times New Roman" w:hAnsi="Arial" w:cs="Arial"/>
          <w:color w:val="000000"/>
          <w:sz w:val="24"/>
          <w:szCs w:val="23"/>
          <w:lang w:eastAsia="es-ES"/>
        </w:rPr>
        <w:t>Los proyectos de formación virtual deben entenderse en el marco de una estrategia integral de desarrollo del talento, orientada al logro de los objetivos de las empresas y organizaciones, y la mejora de sus niveles de competitividad.</w:t>
      </w:r>
    </w:p>
    <w:p w:rsidR="006E1BE1" w:rsidRPr="006E1BE1" w:rsidRDefault="006E1BE1" w:rsidP="006E1BE1">
      <w:pPr>
        <w:shd w:val="clear" w:color="auto" w:fill="FFFFFF"/>
        <w:spacing w:after="36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3"/>
          <w:lang w:eastAsia="es-ES"/>
        </w:rPr>
      </w:pPr>
      <w:r w:rsidRPr="006E1BE1">
        <w:rPr>
          <w:rFonts w:ascii="Arial" w:eastAsia="Times New Roman" w:hAnsi="Arial" w:cs="Arial"/>
          <w:color w:val="000000"/>
          <w:sz w:val="24"/>
          <w:szCs w:val="23"/>
          <w:lang w:eastAsia="es-ES"/>
        </w:rPr>
        <w:t>Para las universidades es la oportunidad para desarrollar nuevos mercados e incrementar su rentabilidad.</w:t>
      </w:r>
    </w:p>
    <w:p w:rsidR="006E1BE1" w:rsidRPr="006E1BE1" w:rsidRDefault="006E1BE1" w:rsidP="006E1BE1">
      <w:pPr>
        <w:shd w:val="clear" w:color="auto" w:fill="FFFFFF"/>
        <w:spacing w:after="36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3"/>
          <w:lang w:eastAsia="es-ES"/>
        </w:rPr>
      </w:pPr>
      <w:r w:rsidRPr="006E1BE1">
        <w:rPr>
          <w:rFonts w:ascii="Arial" w:eastAsia="Times New Roman" w:hAnsi="Arial" w:cs="Arial"/>
          <w:color w:val="000000"/>
          <w:sz w:val="24"/>
          <w:szCs w:val="23"/>
          <w:lang w:eastAsia="es-ES"/>
        </w:rPr>
        <w:t>Hoy, tanto las empresas como las instituciones educativas deben responder a requerimientos muy puntuales vinculados a la distribución y el acceso al conocimiento, siguiendo a la persona, en el lugar donde se encuentre y a través de múltiples dispositivos.</w:t>
      </w:r>
    </w:p>
    <w:p w:rsidR="006E1BE1" w:rsidRPr="006E1BE1" w:rsidRDefault="006E1BE1" w:rsidP="006E1BE1">
      <w:pPr>
        <w:shd w:val="clear" w:color="auto" w:fill="FFFFFF"/>
        <w:spacing w:after="36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3"/>
          <w:lang w:eastAsia="es-ES"/>
        </w:rPr>
      </w:pPr>
      <w:r w:rsidRPr="006E1BE1">
        <w:rPr>
          <w:rFonts w:ascii="Arial" w:eastAsia="Times New Roman" w:hAnsi="Arial" w:cs="Arial"/>
          <w:color w:val="000000"/>
          <w:sz w:val="24"/>
          <w:szCs w:val="23"/>
          <w:lang w:eastAsia="es-ES"/>
        </w:rPr>
        <w:t>Ubicuidad y movilidad son dos características centrales de los procesos de formación actuales, en los que la actualización de conocimientos y la adquisición de nuevas habilidades y competencias debe ser constante, a partir de los cambios que está produciendo la Cuarta Revolución Industrial en los modelos de producción y las dinámicas laborales.</w:t>
      </w:r>
    </w:p>
    <w:p w:rsidR="006E1BE1" w:rsidRPr="006E1BE1" w:rsidRDefault="006E1BE1" w:rsidP="006E1BE1">
      <w:pPr>
        <w:shd w:val="clear" w:color="auto" w:fill="FFFFFF"/>
        <w:spacing w:after="36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3"/>
          <w:lang w:eastAsia="es-ES"/>
        </w:rPr>
      </w:pPr>
      <w:r w:rsidRPr="006E1BE1">
        <w:rPr>
          <w:rFonts w:ascii="Arial" w:eastAsia="Times New Roman" w:hAnsi="Arial" w:cs="Arial"/>
          <w:color w:val="000000"/>
          <w:sz w:val="24"/>
          <w:szCs w:val="23"/>
          <w:lang w:eastAsia="es-ES"/>
        </w:rPr>
        <w:t>Los proyectos de e-learning actuales también deben contar con las siguientes características:</w:t>
      </w:r>
    </w:p>
    <w:p w:rsidR="006E1BE1" w:rsidRPr="006E1BE1" w:rsidRDefault="006E1BE1" w:rsidP="006E1BE1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3"/>
          <w:lang w:eastAsia="es-ES"/>
        </w:rPr>
      </w:pPr>
      <w:r w:rsidRPr="006E1BE1">
        <w:rPr>
          <w:rFonts w:ascii="Arial" w:eastAsia="Times New Roman" w:hAnsi="Arial" w:cs="Arial"/>
          <w:color w:val="000000"/>
          <w:sz w:val="24"/>
          <w:szCs w:val="23"/>
          <w:lang w:eastAsia="es-ES"/>
        </w:rPr>
        <w:t>Estar planificado en forma integral con el foco puesto en los objetivos de cada organización.</w:t>
      </w:r>
    </w:p>
    <w:p w:rsidR="006E1BE1" w:rsidRPr="006E1BE1" w:rsidRDefault="006E1BE1" w:rsidP="006E1BE1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3"/>
          <w:lang w:eastAsia="es-ES"/>
        </w:rPr>
      </w:pPr>
      <w:r w:rsidRPr="006E1BE1">
        <w:rPr>
          <w:rFonts w:ascii="Arial" w:eastAsia="Times New Roman" w:hAnsi="Arial" w:cs="Arial"/>
          <w:color w:val="000000"/>
          <w:sz w:val="24"/>
          <w:szCs w:val="23"/>
          <w:lang w:eastAsia="es-ES"/>
        </w:rPr>
        <w:t>Capacidad de integración de la plataforma LMS que se utilice en cada proyecto con otros sistemas de gestión que posean las organizaciones.</w:t>
      </w:r>
    </w:p>
    <w:p w:rsidR="006E1BE1" w:rsidRPr="006E1BE1" w:rsidRDefault="006E1BE1" w:rsidP="006E1BE1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3"/>
          <w:lang w:eastAsia="es-ES"/>
        </w:rPr>
      </w:pPr>
      <w:r w:rsidRPr="006E1BE1">
        <w:rPr>
          <w:rFonts w:ascii="Arial" w:eastAsia="Times New Roman" w:hAnsi="Arial" w:cs="Arial"/>
          <w:color w:val="000000"/>
          <w:sz w:val="24"/>
          <w:szCs w:val="23"/>
          <w:lang w:eastAsia="es-ES"/>
        </w:rPr>
        <w:t>Independencia tecnológica, para poder elegir la solución más adecuada para cada empresa o institución educativa, y para cada proyecto.</w:t>
      </w:r>
    </w:p>
    <w:p w:rsidR="006E1BE1" w:rsidRPr="006E1BE1" w:rsidRDefault="006E1BE1" w:rsidP="006E1BE1">
      <w:pPr>
        <w:shd w:val="clear" w:color="auto" w:fill="FFFFFF"/>
        <w:spacing w:after="36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3"/>
          <w:lang w:eastAsia="es-ES"/>
        </w:rPr>
      </w:pPr>
      <w:r w:rsidRPr="006E1BE1">
        <w:rPr>
          <w:rFonts w:ascii="Arial" w:eastAsia="Times New Roman" w:hAnsi="Arial" w:cs="Arial"/>
          <w:color w:val="000000"/>
          <w:sz w:val="24"/>
          <w:szCs w:val="23"/>
          <w:lang w:eastAsia="es-ES"/>
        </w:rPr>
        <w:t xml:space="preserve">Lo importante es que el e-learning sea considerado también como una modalidad de apoyo complementaria a procesos de formación presencial, a través del </w:t>
      </w:r>
      <w:proofErr w:type="spellStart"/>
      <w:r w:rsidRPr="006E1BE1">
        <w:rPr>
          <w:rFonts w:ascii="Arial" w:eastAsia="Times New Roman" w:hAnsi="Arial" w:cs="Arial"/>
          <w:color w:val="000000"/>
          <w:sz w:val="24"/>
          <w:szCs w:val="23"/>
          <w:lang w:eastAsia="es-ES"/>
        </w:rPr>
        <w:t>blended</w:t>
      </w:r>
      <w:proofErr w:type="spellEnd"/>
      <w:r w:rsidRPr="006E1BE1">
        <w:rPr>
          <w:rFonts w:ascii="Arial" w:eastAsia="Times New Roman" w:hAnsi="Arial" w:cs="Arial"/>
          <w:color w:val="000000"/>
          <w:sz w:val="24"/>
          <w:szCs w:val="23"/>
          <w:lang w:eastAsia="es-ES"/>
        </w:rPr>
        <w:t xml:space="preserve"> </w:t>
      </w:r>
      <w:proofErr w:type="spellStart"/>
      <w:r w:rsidRPr="006E1BE1">
        <w:rPr>
          <w:rFonts w:ascii="Arial" w:eastAsia="Times New Roman" w:hAnsi="Arial" w:cs="Arial"/>
          <w:color w:val="000000"/>
          <w:sz w:val="24"/>
          <w:szCs w:val="23"/>
          <w:lang w:eastAsia="es-ES"/>
        </w:rPr>
        <w:t>learning</w:t>
      </w:r>
      <w:proofErr w:type="spellEnd"/>
      <w:r w:rsidRPr="006E1BE1">
        <w:rPr>
          <w:rFonts w:ascii="Arial" w:eastAsia="Times New Roman" w:hAnsi="Arial" w:cs="Arial"/>
          <w:color w:val="000000"/>
          <w:sz w:val="24"/>
          <w:szCs w:val="23"/>
          <w:lang w:eastAsia="es-ES"/>
        </w:rPr>
        <w:t>.</w:t>
      </w:r>
    </w:p>
    <w:p w:rsidR="006E1BE1" w:rsidRPr="006E1BE1" w:rsidRDefault="006E1BE1" w:rsidP="006E1BE1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3"/>
          <w:lang w:eastAsia="es-ES"/>
        </w:rPr>
      </w:pPr>
      <w:r w:rsidRPr="006E1BE1">
        <w:rPr>
          <w:rFonts w:ascii="Arial" w:eastAsia="Times New Roman" w:hAnsi="Arial" w:cs="Arial"/>
          <w:b/>
          <w:bCs/>
          <w:color w:val="000000"/>
          <w:sz w:val="24"/>
          <w:szCs w:val="23"/>
          <w:bdr w:val="none" w:sz="0" w:space="0" w:color="auto" w:frame="1"/>
          <w:lang w:eastAsia="es-ES"/>
        </w:rPr>
        <w:t>El e-learning permite a las empresas:</w:t>
      </w:r>
    </w:p>
    <w:p w:rsidR="006E1BE1" w:rsidRPr="006E1BE1" w:rsidRDefault="006E1BE1" w:rsidP="006E1BE1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3"/>
          <w:lang w:eastAsia="es-ES"/>
        </w:rPr>
      </w:pPr>
      <w:r w:rsidRPr="006E1BE1">
        <w:rPr>
          <w:rFonts w:ascii="Arial" w:eastAsia="Times New Roman" w:hAnsi="Arial" w:cs="Arial"/>
          <w:color w:val="000000"/>
          <w:sz w:val="24"/>
          <w:szCs w:val="23"/>
          <w:lang w:eastAsia="es-ES"/>
        </w:rPr>
        <w:t>Proveer a sus equipos acceso a conocimientos, habilidades y competencias, en el momento en el que surge cada necesidad, sin importar donde se encuentren y el dispositivo con el que se conecten.</w:t>
      </w:r>
    </w:p>
    <w:p w:rsidR="006E1BE1" w:rsidRPr="006E1BE1" w:rsidRDefault="006E1BE1" w:rsidP="006E1BE1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3"/>
          <w:lang w:eastAsia="es-ES"/>
        </w:rPr>
      </w:pPr>
      <w:r w:rsidRPr="006E1BE1">
        <w:rPr>
          <w:rFonts w:ascii="Arial" w:eastAsia="Times New Roman" w:hAnsi="Arial" w:cs="Arial"/>
          <w:color w:val="000000"/>
          <w:sz w:val="24"/>
          <w:szCs w:val="23"/>
          <w:lang w:eastAsia="es-ES"/>
        </w:rPr>
        <w:lastRenderedPageBreak/>
        <w:t>Atender a las necesidades de capacitación de sus colaboradores sin que dejen sus puestos de trabajo.</w:t>
      </w:r>
    </w:p>
    <w:p w:rsidR="006E1BE1" w:rsidRPr="006E1BE1" w:rsidRDefault="006E1BE1" w:rsidP="006E1BE1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3"/>
          <w:lang w:eastAsia="es-ES"/>
        </w:rPr>
      </w:pPr>
      <w:r w:rsidRPr="006E1BE1">
        <w:rPr>
          <w:rFonts w:ascii="Arial" w:eastAsia="Times New Roman" w:hAnsi="Arial" w:cs="Arial"/>
          <w:color w:val="000000"/>
          <w:sz w:val="24"/>
          <w:szCs w:val="23"/>
          <w:lang w:eastAsia="es-ES"/>
        </w:rPr>
        <w:t>Reducir e incluso eliminar costos de traslado, alojamiento y material didáctico, entre otros gastos.</w:t>
      </w:r>
    </w:p>
    <w:p w:rsidR="006E1BE1" w:rsidRPr="006E1BE1" w:rsidRDefault="006E1BE1" w:rsidP="006E1BE1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3"/>
          <w:lang w:eastAsia="es-ES"/>
        </w:rPr>
      </w:pPr>
      <w:r w:rsidRPr="006E1BE1">
        <w:rPr>
          <w:rFonts w:ascii="Arial" w:eastAsia="Times New Roman" w:hAnsi="Arial" w:cs="Arial"/>
          <w:color w:val="000000"/>
          <w:sz w:val="24"/>
          <w:szCs w:val="23"/>
          <w:lang w:eastAsia="es-ES"/>
        </w:rPr>
        <w:t>Formación personalizada con un enfoque basado en competencias.</w:t>
      </w:r>
    </w:p>
    <w:p w:rsidR="006E1BE1" w:rsidRPr="006E1BE1" w:rsidRDefault="006E1BE1" w:rsidP="006E1BE1">
      <w:pPr>
        <w:shd w:val="clear" w:color="auto" w:fill="FFFFFF"/>
        <w:spacing w:after="36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3"/>
          <w:lang w:eastAsia="es-ES"/>
        </w:rPr>
      </w:pPr>
      <w:r w:rsidRPr="006E1BE1">
        <w:rPr>
          <w:rFonts w:ascii="Arial" w:eastAsia="Times New Roman" w:hAnsi="Arial" w:cs="Arial"/>
          <w:color w:val="000000"/>
          <w:sz w:val="24"/>
          <w:szCs w:val="23"/>
          <w:lang w:eastAsia="es-ES"/>
        </w:rPr>
        <w:t>Mientras que a las instituciones educativas les proporciona:</w:t>
      </w:r>
    </w:p>
    <w:p w:rsidR="006E1BE1" w:rsidRPr="006E1BE1" w:rsidRDefault="006E1BE1" w:rsidP="006E1BE1">
      <w:pPr>
        <w:numPr>
          <w:ilvl w:val="0"/>
          <w:numId w:val="3"/>
        </w:numPr>
        <w:shd w:val="clear" w:color="auto" w:fill="FFFFFF"/>
        <w:spacing w:after="0" w:line="300" w:lineRule="atLeast"/>
        <w:ind w:left="30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3"/>
          <w:lang w:eastAsia="es-ES"/>
        </w:rPr>
      </w:pPr>
      <w:r w:rsidRPr="006E1BE1">
        <w:rPr>
          <w:rFonts w:ascii="Arial" w:eastAsia="Times New Roman" w:hAnsi="Arial" w:cs="Arial"/>
          <w:color w:val="000000"/>
          <w:sz w:val="24"/>
          <w:szCs w:val="23"/>
          <w:lang w:eastAsia="es-ES"/>
        </w:rPr>
        <w:t>Expansión del impacto territorial de sus propuestas formativas.</w:t>
      </w:r>
    </w:p>
    <w:p w:rsidR="006E1BE1" w:rsidRPr="006E1BE1" w:rsidRDefault="006E1BE1" w:rsidP="006E1BE1">
      <w:pPr>
        <w:numPr>
          <w:ilvl w:val="0"/>
          <w:numId w:val="3"/>
        </w:numPr>
        <w:shd w:val="clear" w:color="auto" w:fill="FFFFFF"/>
        <w:spacing w:after="0" w:line="300" w:lineRule="atLeast"/>
        <w:ind w:left="30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3"/>
          <w:lang w:eastAsia="es-ES"/>
        </w:rPr>
      </w:pPr>
      <w:r w:rsidRPr="006E1BE1">
        <w:rPr>
          <w:rFonts w:ascii="Arial" w:eastAsia="Times New Roman" w:hAnsi="Arial" w:cs="Arial"/>
          <w:color w:val="000000"/>
          <w:sz w:val="24"/>
          <w:szCs w:val="23"/>
          <w:lang w:eastAsia="es-ES"/>
        </w:rPr>
        <w:t>Flexibilidad de agenda: no se requiere que un grupo de personas coincidan en tiempo y espacio para acceder a una instancia de formación.</w:t>
      </w:r>
    </w:p>
    <w:p w:rsidR="006E1BE1" w:rsidRPr="006E1BE1" w:rsidRDefault="006E1BE1" w:rsidP="006E1BE1">
      <w:pPr>
        <w:numPr>
          <w:ilvl w:val="0"/>
          <w:numId w:val="3"/>
        </w:numPr>
        <w:shd w:val="clear" w:color="auto" w:fill="FFFFFF"/>
        <w:spacing w:after="0" w:line="300" w:lineRule="atLeast"/>
        <w:ind w:left="30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3"/>
          <w:lang w:eastAsia="es-ES"/>
        </w:rPr>
      </w:pPr>
      <w:r w:rsidRPr="006E1BE1">
        <w:rPr>
          <w:rFonts w:ascii="Arial" w:eastAsia="Times New Roman" w:hAnsi="Arial" w:cs="Arial"/>
          <w:color w:val="000000"/>
          <w:sz w:val="24"/>
          <w:szCs w:val="23"/>
          <w:lang w:eastAsia="es-ES"/>
        </w:rPr>
        <w:t>Posibilidad de contar a través de videoconferencias, en forma sincrónica y asincrónica, con expertos localizados en diferentes lugares del mundo.</w:t>
      </w:r>
    </w:p>
    <w:p w:rsidR="006E1BE1" w:rsidRPr="006E1BE1" w:rsidRDefault="006E1BE1" w:rsidP="006E1BE1">
      <w:pPr>
        <w:shd w:val="clear" w:color="auto" w:fill="FFFFFF"/>
        <w:spacing w:after="36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3"/>
          <w:lang w:eastAsia="es-ES"/>
        </w:rPr>
      </w:pPr>
      <w:r w:rsidRPr="006E1BE1">
        <w:rPr>
          <w:rFonts w:ascii="Arial" w:eastAsia="Times New Roman" w:hAnsi="Arial" w:cs="Arial"/>
          <w:color w:val="000000"/>
          <w:sz w:val="24"/>
          <w:szCs w:val="23"/>
          <w:lang w:eastAsia="es-ES"/>
        </w:rPr>
        <w:t>En ambos casos, aporta rapidez y agilidad para acceder a los contenidos formativos.</w:t>
      </w:r>
    </w:p>
    <w:p w:rsidR="006E1BE1" w:rsidRPr="006E1BE1" w:rsidRDefault="006E1BE1" w:rsidP="006E1BE1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3"/>
          <w:lang w:eastAsia="es-ES"/>
        </w:rPr>
      </w:pPr>
      <w:r w:rsidRPr="006E1BE1">
        <w:rPr>
          <w:rFonts w:ascii="Arial" w:eastAsia="Times New Roman" w:hAnsi="Arial" w:cs="Arial"/>
          <w:b/>
          <w:bCs/>
          <w:color w:val="000000"/>
          <w:sz w:val="24"/>
          <w:szCs w:val="23"/>
          <w:bdr w:val="none" w:sz="0" w:space="0" w:color="auto" w:frame="1"/>
          <w:lang w:eastAsia="es-ES"/>
        </w:rPr>
        <w:t>El e-learning transformó y transforma la educación, abriendo puertas al aprendizaje personalizado, individual y organizacional. Es por ello que hoy en día está ocupando un lugar cada vez más destacado y reconocido dentro de las organizaciones empresariales y educativas.</w:t>
      </w:r>
    </w:p>
    <w:p w:rsidR="006E1BE1" w:rsidRPr="006E1BE1" w:rsidRDefault="006E1BE1" w:rsidP="006E1BE1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3"/>
          <w:lang w:eastAsia="es-ES"/>
        </w:rPr>
      </w:pPr>
      <w:r w:rsidRPr="006E1BE1">
        <w:rPr>
          <w:rFonts w:ascii="Arial" w:eastAsia="Times New Roman" w:hAnsi="Arial" w:cs="Arial"/>
          <w:b/>
          <w:bCs/>
          <w:color w:val="000000"/>
          <w:sz w:val="24"/>
          <w:szCs w:val="23"/>
          <w:bdr w:val="none" w:sz="0" w:space="0" w:color="auto" w:frame="1"/>
          <w:lang w:eastAsia="es-ES"/>
        </w:rPr>
        <w:t>Recursos útiles:</w:t>
      </w:r>
    </w:p>
    <w:p w:rsidR="006E1BE1" w:rsidRPr="006E1BE1" w:rsidRDefault="006E1BE1" w:rsidP="006E1BE1">
      <w:pPr>
        <w:numPr>
          <w:ilvl w:val="0"/>
          <w:numId w:val="4"/>
        </w:numPr>
        <w:shd w:val="clear" w:color="auto" w:fill="FFFFFF"/>
        <w:spacing w:after="0" w:line="300" w:lineRule="atLeast"/>
        <w:ind w:left="30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3"/>
          <w:lang w:eastAsia="es-ES"/>
        </w:rPr>
      </w:pPr>
      <w:hyperlink r:id="rId5" w:tgtFrame="_blank" w:history="1">
        <w:r w:rsidRPr="006E1BE1">
          <w:rPr>
            <w:rFonts w:ascii="Arial" w:eastAsia="Times New Roman" w:hAnsi="Arial" w:cs="Arial"/>
            <w:color w:val="000000"/>
            <w:sz w:val="24"/>
            <w:szCs w:val="23"/>
            <w:u w:val="single"/>
            <w:bdr w:val="none" w:sz="0" w:space="0" w:color="auto" w:frame="1"/>
            <w:lang w:eastAsia="es-ES"/>
          </w:rPr>
          <w:t>Los beneficios del e-learning </w:t>
        </w:r>
      </w:hyperlink>
    </w:p>
    <w:p w:rsidR="006E1BE1" w:rsidRPr="006E1BE1" w:rsidRDefault="006E1BE1" w:rsidP="006E1BE1">
      <w:pPr>
        <w:numPr>
          <w:ilvl w:val="0"/>
          <w:numId w:val="4"/>
        </w:numPr>
        <w:shd w:val="clear" w:color="auto" w:fill="FFFFFF"/>
        <w:spacing w:after="0" w:line="300" w:lineRule="atLeast"/>
        <w:ind w:left="30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3"/>
          <w:lang w:eastAsia="es-ES"/>
        </w:rPr>
      </w:pPr>
      <w:hyperlink r:id="rId6" w:tgtFrame="_blank" w:history="1">
        <w:r w:rsidRPr="006E1BE1">
          <w:rPr>
            <w:rFonts w:ascii="Arial" w:eastAsia="Times New Roman" w:hAnsi="Arial" w:cs="Arial"/>
            <w:color w:val="000000"/>
            <w:sz w:val="24"/>
            <w:szCs w:val="23"/>
            <w:u w:val="single"/>
            <w:bdr w:val="none" w:sz="0" w:space="0" w:color="auto" w:frame="1"/>
            <w:lang w:eastAsia="es-ES"/>
          </w:rPr>
          <w:t>TMS y SGA: ámbitos de actuación para el e-learning corporativo y educativo </w:t>
        </w:r>
      </w:hyperlink>
    </w:p>
    <w:p w:rsidR="006E1BE1" w:rsidRPr="006E1BE1" w:rsidRDefault="006E1BE1" w:rsidP="006E1BE1">
      <w:pPr>
        <w:numPr>
          <w:ilvl w:val="0"/>
          <w:numId w:val="4"/>
        </w:numPr>
        <w:shd w:val="clear" w:color="auto" w:fill="FFFFFF"/>
        <w:spacing w:after="0" w:line="300" w:lineRule="atLeast"/>
        <w:ind w:left="30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3"/>
          <w:lang w:eastAsia="es-ES"/>
        </w:rPr>
      </w:pPr>
      <w:hyperlink r:id="rId7" w:tgtFrame="_blank" w:history="1">
        <w:r w:rsidRPr="006E1BE1">
          <w:rPr>
            <w:rFonts w:ascii="Arial" w:eastAsia="Times New Roman" w:hAnsi="Arial" w:cs="Arial"/>
            <w:color w:val="0C0C0C"/>
            <w:sz w:val="24"/>
            <w:szCs w:val="23"/>
            <w:u w:val="single"/>
            <w:bdr w:val="none" w:sz="0" w:space="0" w:color="auto" w:frame="1"/>
            <w:lang w:eastAsia="es-ES"/>
          </w:rPr>
          <w:t>Buenas prácticas para desarrollar proyectos de e-learning en empresas </w:t>
        </w:r>
      </w:hyperlink>
    </w:p>
    <w:p w:rsidR="006E1BE1" w:rsidRPr="006E1BE1" w:rsidRDefault="006E1BE1" w:rsidP="006E1BE1">
      <w:pPr>
        <w:numPr>
          <w:ilvl w:val="0"/>
          <w:numId w:val="4"/>
        </w:numPr>
        <w:shd w:val="clear" w:color="auto" w:fill="FFFFFF"/>
        <w:spacing w:after="0" w:line="300" w:lineRule="atLeast"/>
        <w:ind w:left="30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3"/>
          <w:lang w:eastAsia="es-ES"/>
        </w:rPr>
      </w:pPr>
      <w:hyperlink r:id="rId8" w:tgtFrame="_blank" w:history="1">
        <w:r w:rsidRPr="006E1BE1">
          <w:rPr>
            <w:rFonts w:ascii="Arial" w:eastAsia="Times New Roman" w:hAnsi="Arial" w:cs="Arial"/>
            <w:color w:val="000000"/>
            <w:sz w:val="24"/>
            <w:szCs w:val="23"/>
            <w:u w:val="single"/>
            <w:bdr w:val="none" w:sz="0" w:space="0" w:color="auto" w:frame="1"/>
            <w:lang w:eastAsia="es-ES"/>
          </w:rPr>
          <w:t>Buenas prácticas para desarrollar proyectos de e-learning en instituciones educativas </w:t>
        </w:r>
      </w:hyperlink>
    </w:p>
    <w:p w:rsidR="006E1BE1" w:rsidRPr="006E1BE1" w:rsidRDefault="006E1BE1" w:rsidP="006E1BE1">
      <w:pPr>
        <w:numPr>
          <w:ilvl w:val="0"/>
          <w:numId w:val="4"/>
        </w:numPr>
        <w:shd w:val="clear" w:color="auto" w:fill="FFFFFF"/>
        <w:spacing w:after="0" w:line="300" w:lineRule="atLeast"/>
        <w:ind w:left="30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3"/>
          <w:lang w:eastAsia="es-ES"/>
        </w:rPr>
      </w:pPr>
      <w:hyperlink r:id="rId9" w:tgtFrame="_blank" w:history="1">
        <w:r w:rsidRPr="006E1BE1">
          <w:rPr>
            <w:rFonts w:ascii="Arial" w:eastAsia="Times New Roman" w:hAnsi="Arial" w:cs="Arial"/>
            <w:color w:val="000000"/>
            <w:sz w:val="24"/>
            <w:szCs w:val="23"/>
            <w:u w:val="single"/>
            <w:bdr w:val="none" w:sz="0" w:space="0" w:color="auto" w:frame="1"/>
            <w:lang w:eastAsia="es-ES"/>
          </w:rPr>
          <w:t>Independencia tecnológica, factor determinante para apoyar estrategias pedagógicas con eficiencia</w:t>
        </w:r>
      </w:hyperlink>
    </w:p>
    <w:p w:rsidR="006E1BE1" w:rsidRPr="006E1BE1" w:rsidRDefault="006E1BE1" w:rsidP="006E1BE1">
      <w:pPr>
        <w:numPr>
          <w:ilvl w:val="0"/>
          <w:numId w:val="4"/>
        </w:numPr>
        <w:shd w:val="clear" w:color="auto" w:fill="FFFFFF"/>
        <w:spacing w:after="0" w:line="300" w:lineRule="atLeast"/>
        <w:ind w:left="30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3"/>
          <w:lang w:eastAsia="es-ES"/>
        </w:rPr>
      </w:pPr>
      <w:hyperlink r:id="rId10" w:tgtFrame="_blank" w:history="1">
        <w:r w:rsidRPr="006E1BE1">
          <w:rPr>
            <w:rFonts w:ascii="Arial" w:eastAsia="Times New Roman" w:hAnsi="Arial" w:cs="Arial"/>
            <w:color w:val="000000"/>
            <w:sz w:val="24"/>
            <w:szCs w:val="23"/>
            <w:u w:val="single"/>
            <w:bdr w:val="none" w:sz="0" w:space="0" w:color="auto" w:frame="1"/>
            <w:lang w:eastAsia="es-ES"/>
          </w:rPr>
          <w:t>Integrar Moodle y Office 365 en Azure, una buena práctica para garantizar el éxito de los proyectos de e-learning</w:t>
        </w:r>
      </w:hyperlink>
    </w:p>
    <w:p w:rsidR="006E1BE1" w:rsidRPr="006E1BE1" w:rsidRDefault="006E1BE1" w:rsidP="006E1BE1">
      <w:pPr>
        <w:numPr>
          <w:ilvl w:val="0"/>
          <w:numId w:val="4"/>
        </w:numPr>
        <w:shd w:val="clear" w:color="auto" w:fill="FFFFFF"/>
        <w:spacing w:after="0" w:line="300" w:lineRule="atLeast"/>
        <w:ind w:left="30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3"/>
          <w:lang w:eastAsia="es-ES"/>
        </w:rPr>
      </w:pPr>
      <w:hyperlink r:id="rId11" w:tgtFrame="_blank" w:history="1">
        <w:r w:rsidRPr="006E1BE1">
          <w:rPr>
            <w:rFonts w:ascii="Arial" w:eastAsia="Times New Roman" w:hAnsi="Arial" w:cs="Arial"/>
            <w:color w:val="000000"/>
            <w:sz w:val="24"/>
            <w:szCs w:val="23"/>
            <w:u w:val="single"/>
            <w:bdr w:val="none" w:sz="0" w:space="0" w:color="auto" w:frame="1"/>
            <w:lang w:eastAsia="es-ES"/>
          </w:rPr>
          <w:t>Soluciones de e-Learning: la clave hoy está en dar respuestas adecuadas al modelo pedagógico de cada institución</w:t>
        </w:r>
      </w:hyperlink>
    </w:p>
    <w:p w:rsidR="00246ED9" w:rsidRPr="006E1BE1" w:rsidRDefault="00246ED9" w:rsidP="006E1BE1">
      <w:pPr>
        <w:jc w:val="both"/>
        <w:rPr>
          <w:rFonts w:ascii="Arial" w:hAnsi="Arial" w:cs="Arial"/>
          <w:sz w:val="24"/>
        </w:rPr>
      </w:pPr>
    </w:p>
    <w:sectPr w:rsidR="00246ED9" w:rsidRPr="006E1B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A0979"/>
    <w:multiLevelType w:val="multilevel"/>
    <w:tmpl w:val="222C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1A1D6A"/>
    <w:multiLevelType w:val="multilevel"/>
    <w:tmpl w:val="427A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D3455D"/>
    <w:multiLevelType w:val="multilevel"/>
    <w:tmpl w:val="75F4B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F90FD0"/>
    <w:multiLevelType w:val="multilevel"/>
    <w:tmpl w:val="9FC0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E1"/>
    <w:rsid w:val="00246ED9"/>
    <w:rsid w:val="006E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13127"/>
  <w15:chartTrackingRefBased/>
  <w15:docId w15:val="{F20B9ADC-0853-46E3-9C33-A2AC959B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4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301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47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305201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8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2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abclearning.com/notas-de-actualidad/35-2016/173-buenas-practicas-para-desarrollar-proyectos-de-e-learning-en-instituciones-educativa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-abclearning.com/notas-de-actualidad/35-2016/189-buenas-practicas-para-desarrollar-proyectos-de-e-learning-en-empresa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abclearning.com/notas-de-actualidad/35-2016/160-tms-y-sga-ambitos-de-actuacion-para-el-e-learning-corporativo-y-educativo" TargetMode="External"/><Relationship Id="rId11" Type="http://schemas.openxmlformats.org/officeDocument/2006/relationships/hyperlink" Target="http://www.e-abclearning.com/notas-de-actualidad/35-2016/194-soluciones-de-e-learning-la-clave-hoy-esta-en-dar-respuestas-adecuadas-al-modelo-pedagogico-de-cada-institucion" TargetMode="External"/><Relationship Id="rId5" Type="http://schemas.openxmlformats.org/officeDocument/2006/relationships/hyperlink" Target="https://www.youtube.com/playlist?list=PLv_0Eq_ikVjp-dfLPJ02Z9pOGQJEvyB7r" TargetMode="External"/><Relationship Id="rId10" Type="http://schemas.openxmlformats.org/officeDocument/2006/relationships/hyperlink" Target="http://www.e-abclearning.com/notas-de-actualidad/37-2017/221-integrar-moodle-y-office-365-en-azu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abclearning.com/notas-de-actualidad/37-2017/209-independencia-tecnologica-factor-determinante-para-apoyar-estrategias-pedagogicas-con-eficienci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753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 Universidad</dc:creator>
  <cp:keywords/>
  <dc:description/>
  <cp:lastModifiedBy>ISAE Universidad</cp:lastModifiedBy>
  <cp:revision>1</cp:revision>
  <dcterms:created xsi:type="dcterms:W3CDTF">2017-12-30T15:53:00Z</dcterms:created>
  <dcterms:modified xsi:type="dcterms:W3CDTF">2017-12-30T15:57:00Z</dcterms:modified>
</cp:coreProperties>
</file>