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EF" w:rsidRDefault="007350EF" w:rsidP="007350EF"/>
    <w:p w:rsidR="00885E87" w:rsidRDefault="00885E87" w:rsidP="007350EF"/>
    <w:p w:rsidR="007350EF" w:rsidRPr="006C3E1B" w:rsidRDefault="003C49AE" w:rsidP="007350EF">
      <w:pPr>
        <w:rPr>
          <w:b/>
        </w:rPr>
      </w:pPr>
      <w:r>
        <w:rPr>
          <w:b/>
        </w:rPr>
        <w:t xml:space="preserve">Innovative Conceptual Engineering Design (ICED) - </w:t>
      </w:r>
      <w:r w:rsidR="007478E7" w:rsidRPr="007478E7">
        <w:rPr>
          <w:b/>
        </w:rPr>
        <w:t>The Seven Themes</w:t>
      </w:r>
    </w:p>
    <w:p w:rsidR="007350EF" w:rsidRDefault="007350EF" w:rsidP="007350EF"/>
    <w:p w:rsidR="007478E7" w:rsidRPr="007478E7" w:rsidRDefault="00885E87" w:rsidP="007478E7">
      <w:pPr>
        <w:rPr>
          <w:bCs/>
        </w:rPr>
      </w:pPr>
      <w:r>
        <w:rPr>
          <w:bCs/>
        </w:rPr>
        <w:t>A</w:t>
      </w:r>
      <w:r w:rsidR="007478E7" w:rsidRPr="007478E7">
        <w:rPr>
          <w:bCs/>
        </w:rPr>
        <w:t xml:space="preserve"> short list of key ideas or themes </w:t>
      </w:r>
      <w:r>
        <w:rPr>
          <w:bCs/>
        </w:rPr>
        <w:t>which</w:t>
      </w:r>
      <w:r w:rsidR="007478E7" w:rsidRPr="007478E7">
        <w:rPr>
          <w:bCs/>
        </w:rPr>
        <w:t xml:space="preserve"> </w:t>
      </w:r>
      <w:r w:rsidR="00951763">
        <w:rPr>
          <w:bCs/>
        </w:rPr>
        <w:t>are</w:t>
      </w:r>
      <w:r w:rsidR="007478E7" w:rsidRPr="007478E7">
        <w:rPr>
          <w:bCs/>
        </w:rPr>
        <w:t xml:space="preserve"> critical to innovative design</w:t>
      </w:r>
      <w:r>
        <w:rPr>
          <w:bCs/>
        </w:rPr>
        <w:t xml:space="preserve"> were developed </w:t>
      </w:r>
      <w:r w:rsidR="003C49AE">
        <w:rPr>
          <w:bCs/>
        </w:rPr>
        <w:t>and captured</w:t>
      </w:r>
      <w:r>
        <w:rPr>
          <w:bCs/>
        </w:rPr>
        <w:t xml:space="preserve"> as </w:t>
      </w:r>
      <w:r w:rsidR="007478E7" w:rsidRPr="007478E7">
        <w:rPr>
          <w:bCs/>
        </w:rPr>
        <w:t xml:space="preserve">easily recognizable icons </w:t>
      </w:r>
      <w:r>
        <w:rPr>
          <w:bCs/>
        </w:rPr>
        <w:t>which the faculty and lecturers could</w:t>
      </w:r>
      <w:r w:rsidR="007478E7" w:rsidRPr="007478E7">
        <w:rPr>
          <w:bCs/>
        </w:rPr>
        <w:t xml:space="preserve"> refer to and </w:t>
      </w:r>
      <w:r>
        <w:rPr>
          <w:bCs/>
        </w:rPr>
        <w:t xml:space="preserve">help </w:t>
      </w:r>
      <w:r w:rsidR="007478E7" w:rsidRPr="007478E7">
        <w:rPr>
          <w:bCs/>
        </w:rPr>
        <w:t>integrate throughout the lectures and sessions to positively reinforce and provide relevant examples of how these themes were/are used in real projects</w:t>
      </w:r>
      <w:r w:rsidR="006570E0">
        <w:rPr>
          <w:bCs/>
        </w:rPr>
        <w:t xml:space="preserve"> (Fig. 6)</w:t>
      </w:r>
      <w:r w:rsidR="007478E7" w:rsidRPr="007478E7">
        <w:rPr>
          <w:bCs/>
        </w:rPr>
        <w:t xml:space="preserve">.  </w:t>
      </w:r>
    </w:p>
    <w:p w:rsidR="007478E7" w:rsidRPr="007478E7" w:rsidRDefault="007478E7" w:rsidP="007478E7">
      <w:pPr>
        <w:rPr>
          <w:bCs/>
        </w:rPr>
      </w:pPr>
    </w:p>
    <w:p w:rsidR="007478E7" w:rsidRPr="007478E7" w:rsidRDefault="007478E7" w:rsidP="007478E7">
      <w:pPr>
        <w:rPr>
          <w:bCs/>
        </w:rPr>
      </w:pPr>
      <w:r w:rsidRPr="007478E7">
        <w:rPr>
          <w:bCs/>
        </w:rPr>
        <w:t xml:space="preserve">The first theme </w:t>
      </w:r>
      <w:r w:rsidR="00951763">
        <w:rPr>
          <w:bCs/>
        </w:rPr>
        <w:t>was</w:t>
      </w:r>
      <w:r w:rsidRPr="007478E7">
        <w:rPr>
          <w:bCs/>
        </w:rPr>
        <w:t xml:space="preserve"> borrowed from a colleague and well respected expert in structural dynamics, Dr. Robert Ryan, and changed slightly:  “The human mind – use it” speaks to a habit of young inexperienced engineers who may tend to dive into the numerical analysis of a problem without first understanding the physics.  Very simple models should be tried </w:t>
      </w:r>
      <w:r w:rsidR="00951763" w:rsidRPr="007478E7">
        <w:rPr>
          <w:bCs/>
        </w:rPr>
        <w:t xml:space="preserve">first </w:t>
      </w:r>
      <w:r w:rsidRPr="007478E7">
        <w:rPr>
          <w:bCs/>
        </w:rPr>
        <w:t>to establish this preliminary understanding and to assess the important or key parameters to ensure the physical understanding, simple model</w:t>
      </w:r>
      <w:r w:rsidR="00951763">
        <w:rPr>
          <w:bCs/>
        </w:rPr>
        <w:t>,</w:t>
      </w:r>
      <w:r w:rsidRPr="007478E7">
        <w:rPr>
          <w:bCs/>
        </w:rPr>
        <w:t xml:space="preserve"> and observed behavior all agree.  The mind’s ability to use experience and judgment to correctly formulate the problem together with realistic assumptions and boundary conditions is critical and will serve to better understand more rigorous and complex representations and to determine if errors exist.</w:t>
      </w:r>
    </w:p>
    <w:p w:rsidR="007478E7" w:rsidRPr="007478E7" w:rsidRDefault="007478E7" w:rsidP="007478E7">
      <w:pPr>
        <w:rPr>
          <w:bCs/>
        </w:rPr>
      </w:pPr>
    </w:p>
    <w:p w:rsidR="007478E7" w:rsidRPr="007478E7" w:rsidRDefault="007478E7" w:rsidP="007478E7">
      <w:pPr>
        <w:rPr>
          <w:bCs/>
        </w:rPr>
      </w:pPr>
      <w:r w:rsidRPr="007478E7">
        <w:rPr>
          <w:bCs/>
        </w:rPr>
        <w:t>The next theme, “arrogance is the enemy of creativity” was touched upon earlier and one of the most serious impediments to creativity and should be recognized and avoided at all costs.  Highly competent teams should avoid crossing the line and becoming arrogant because this will limit acceptance of new ideas, learning, and prevent objective criticism/review of one</w:t>
      </w:r>
      <w:r w:rsidR="0065365E">
        <w:rPr>
          <w:bCs/>
        </w:rPr>
        <w:t>’</w:t>
      </w:r>
      <w:r w:rsidRPr="007478E7">
        <w:rPr>
          <w:bCs/>
        </w:rPr>
        <w:t>s own ideas and those of the team!  This is directly related to the next theme:  “understand the mechanisms of f</w:t>
      </w:r>
      <w:r w:rsidR="0065365E">
        <w:rPr>
          <w:bCs/>
        </w:rPr>
        <w:t xml:space="preserve">ailure.”  Professor Henry </w:t>
      </w:r>
      <w:proofErr w:type="spellStart"/>
      <w:r w:rsidR="0065365E">
        <w:rPr>
          <w:bCs/>
        </w:rPr>
        <w:t>Petroski</w:t>
      </w:r>
      <w:proofErr w:type="spellEnd"/>
      <w:r w:rsidR="0065365E">
        <w:rPr>
          <w:bCs/>
        </w:rPr>
        <w:t xml:space="preserve"> (</w:t>
      </w:r>
      <w:r w:rsidR="0007604C">
        <w:rPr>
          <w:bCs/>
        </w:rPr>
        <w:t>r</w:t>
      </w:r>
      <w:r w:rsidRPr="007478E7">
        <w:rPr>
          <w:bCs/>
        </w:rPr>
        <w:t>ef. 1</w:t>
      </w:r>
      <w:r w:rsidR="0007604C">
        <w:rPr>
          <w:bCs/>
        </w:rPr>
        <w:t>5</w:t>
      </w:r>
      <w:r w:rsidRPr="007478E7">
        <w:rPr>
          <w:bCs/>
        </w:rPr>
        <w:t>) links good design as one that “obviates failure” by adequately addressing potential failure mechanisms early in the design process.  If you understand and can visualize potential failure mechanisms early enough in the design it will open up avenues of new ideas to simply and elegantly address and eliminate these modes of failure from ever occurring.  Studying the histories of past failures of similar or analogous systems provides a starting point for this critical analysis.</w:t>
      </w:r>
    </w:p>
    <w:p w:rsidR="007478E7" w:rsidRPr="007478E7" w:rsidRDefault="007478E7" w:rsidP="007478E7">
      <w:pPr>
        <w:rPr>
          <w:bCs/>
        </w:rPr>
      </w:pPr>
    </w:p>
    <w:p w:rsidR="007478E7" w:rsidRPr="007478E7" w:rsidRDefault="007478E7" w:rsidP="007478E7">
      <w:pPr>
        <w:rPr>
          <w:bCs/>
        </w:rPr>
      </w:pPr>
      <w:r w:rsidRPr="007478E7">
        <w:rPr>
          <w:bCs/>
        </w:rPr>
        <w:t xml:space="preserve">The next theme is “failure is not an option…it is a requirement.”  </w:t>
      </w:r>
      <w:r w:rsidR="0065365E">
        <w:rPr>
          <w:bCs/>
        </w:rPr>
        <w:t>In contrast to</w:t>
      </w:r>
      <w:r w:rsidRPr="007478E7">
        <w:rPr>
          <w:bCs/>
        </w:rPr>
        <w:t xml:space="preserve"> the popularized Mission Operations Directorate (MOD) of the movie “Apollo 13”, while failure cannot be tolerated for operational vehicles, failure is a necessity for research and development.  Discovery and innovation go hand-in-hand with failure and failure to permit failure impedes exploration, discovery</w:t>
      </w:r>
      <w:r w:rsidR="0065365E">
        <w:rPr>
          <w:bCs/>
        </w:rPr>
        <w:t>,</w:t>
      </w:r>
      <w:r w:rsidRPr="007478E7">
        <w:rPr>
          <w:bCs/>
        </w:rPr>
        <w:t xml:space="preserve"> and innovation.  We learn so much more from our failures and, in fact, success may actually increase the chances for failure.  </w:t>
      </w:r>
      <w:r w:rsidR="0065365E">
        <w:rPr>
          <w:bCs/>
        </w:rPr>
        <w:t>Dr. James Starnes</w:t>
      </w:r>
      <w:r w:rsidRPr="007478E7">
        <w:rPr>
          <w:bCs/>
        </w:rPr>
        <w:t xml:space="preserve"> often stressed the importance of understanding all failure modes and of testing to failure to </w:t>
      </w:r>
      <w:r w:rsidR="0065365E">
        <w:rPr>
          <w:bCs/>
        </w:rPr>
        <w:t>corroborate</w:t>
      </w:r>
      <w:r w:rsidRPr="007478E7">
        <w:rPr>
          <w:bCs/>
        </w:rPr>
        <w:t xml:space="preserve"> and verify analysis.  An environment must be ensured </w:t>
      </w:r>
      <w:r w:rsidR="0065365E">
        <w:rPr>
          <w:bCs/>
        </w:rPr>
        <w:t>that</w:t>
      </w:r>
      <w:r w:rsidRPr="007478E7">
        <w:rPr>
          <w:bCs/>
        </w:rPr>
        <w:t xml:space="preserve"> allows engineers and scientists to experiment/tinker, fail</w:t>
      </w:r>
      <w:r w:rsidR="0065365E">
        <w:rPr>
          <w:bCs/>
        </w:rPr>
        <w:t>,</w:t>
      </w:r>
      <w:r w:rsidRPr="007478E7">
        <w:rPr>
          <w:bCs/>
        </w:rPr>
        <w:t xml:space="preserve"> and learn.  Dr. Jack Matson calls th</w:t>
      </w:r>
      <w:r w:rsidR="0065365E">
        <w:rPr>
          <w:bCs/>
        </w:rPr>
        <w:t>is “intelligent fast failure” (</w:t>
      </w:r>
      <w:r w:rsidR="0007604C">
        <w:rPr>
          <w:bCs/>
        </w:rPr>
        <w:t>r</w:t>
      </w:r>
      <w:r w:rsidRPr="007478E7">
        <w:rPr>
          <w:bCs/>
        </w:rPr>
        <w:t xml:space="preserve">ef. </w:t>
      </w:r>
      <w:r w:rsidR="0007604C">
        <w:rPr>
          <w:bCs/>
        </w:rPr>
        <w:t>12</w:t>
      </w:r>
      <w:r w:rsidRPr="007478E7">
        <w:rPr>
          <w:bCs/>
        </w:rPr>
        <w:t>).</w:t>
      </w:r>
    </w:p>
    <w:p w:rsidR="007478E7" w:rsidRPr="007478E7" w:rsidRDefault="007478E7" w:rsidP="007478E7">
      <w:pPr>
        <w:rPr>
          <w:bCs/>
        </w:rPr>
      </w:pPr>
    </w:p>
    <w:p w:rsidR="007478E7" w:rsidRPr="007478E7" w:rsidRDefault="007478E7" w:rsidP="007478E7">
      <w:pPr>
        <w:rPr>
          <w:bCs/>
        </w:rPr>
      </w:pPr>
      <w:r w:rsidRPr="007478E7">
        <w:rPr>
          <w:bCs/>
        </w:rPr>
        <w:t>During the course of the design cycle teams will have to pan out and view the problem in its entirety and at the same time be able to zoom in and rigorously look at critical details to understand key local as well as global failure modes.  This ensures that a true “systems” approach is always tak</w:t>
      </w:r>
      <w:r w:rsidR="0065365E">
        <w:rPr>
          <w:bCs/>
        </w:rPr>
        <w:t xml:space="preserve">en.  When working on one detail or </w:t>
      </w:r>
      <w:r w:rsidRPr="007478E7">
        <w:rPr>
          <w:bCs/>
        </w:rPr>
        <w:t>component of the whole system, the designer has to step back and assess how the d</w:t>
      </w:r>
      <w:r w:rsidR="0065365E">
        <w:rPr>
          <w:bCs/>
        </w:rPr>
        <w:t>etail changes affect the whole system.</w:t>
      </w:r>
      <w:r w:rsidRPr="007478E7">
        <w:rPr>
          <w:bCs/>
        </w:rPr>
        <w:t xml:space="preserve">  It is crucial </w:t>
      </w:r>
      <w:r w:rsidRPr="007478E7">
        <w:rPr>
          <w:bCs/>
        </w:rPr>
        <w:lastRenderedPageBreak/>
        <w:t>that a good systems engineer can recognize when highly rigorous, detailed analyses</w:t>
      </w:r>
      <w:r w:rsidR="0065365E">
        <w:rPr>
          <w:bCs/>
        </w:rPr>
        <w:t>,</w:t>
      </w:r>
      <w:r w:rsidRPr="007478E7">
        <w:rPr>
          <w:bCs/>
        </w:rPr>
        <w:t xml:space="preserve"> and experimentation is necessary to ensure the true representation of a complex behavior!</w:t>
      </w:r>
    </w:p>
    <w:p w:rsidR="007478E7" w:rsidRPr="007478E7" w:rsidRDefault="007478E7" w:rsidP="007478E7">
      <w:pPr>
        <w:rPr>
          <w:bCs/>
        </w:rPr>
      </w:pPr>
    </w:p>
    <w:p w:rsidR="007478E7" w:rsidRPr="007478E7" w:rsidRDefault="007478E7" w:rsidP="007478E7">
      <w:pPr>
        <w:rPr>
          <w:bCs/>
        </w:rPr>
      </w:pPr>
      <w:r w:rsidRPr="007478E7">
        <w:rPr>
          <w:bCs/>
        </w:rPr>
        <w:t>When pondering the problem, it is often necessary to allow time for ideas to incubate, gel, and morph and allow non-linear patterns and cross pollination.  The teams were given idea journals to use throughout the course to jot down and sketch any thoughts or ideas.</w:t>
      </w:r>
    </w:p>
    <w:p w:rsidR="007478E7" w:rsidRPr="007478E7" w:rsidRDefault="007478E7" w:rsidP="007478E7">
      <w:pPr>
        <w:rPr>
          <w:bCs/>
        </w:rPr>
      </w:pPr>
    </w:p>
    <w:p w:rsidR="007478E7" w:rsidRDefault="007478E7" w:rsidP="007478E7">
      <w:pPr>
        <w:rPr>
          <w:bCs/>
        </w:rPr>
      </w:pPr>
      <w:r w:rsidRPr="007478E7">
        <w:rPr>
          <w:bCs/>
        </w:rPr>
        <w:t>The final theme is that everyone is creative and has the ability to enhance their creative potential.  In addition, the creative quotient of a team can be enhanced.  Good groups/teams can become “great groups” (ref. 6).</w:t>
      </w:r>
    </w:p>
    <w:p w:rsidR="006570E0" w:rsidRPr="007478E7" w:rsidRDefault="006570E0" w:rsidP="007478E7">
      <w:pPr>
        <w:rPr>
          <w:bCs/>
        </w:rPr>
      </w:pPr>
    </w:p>
    <w:p w:rsidR="007478E7" w:rsidRPr="007478E7" w:rsidRDefault="002B1C38" w:rsidP="00C27E99">
      <w:pPr>
        <w:jc w:val="center"/>
        <w:rPr>
          <w:bCs/>
        </w:rPr>
      </w:pPr>
      <w:r w:rsidRPr="002B1C38">
        <w:rPr>
          <w:bCs/>
        </w:rPr>
        <w:object w:dxaOrig="7185"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v:imagedata r:id="rId5" o:title=""/>
          </v:shape>
        </w:object>
      </w:r>
    </w:p>
    <w:p w:rsidR="007478E7" w:rsidRPr="007478E7" w:rsidRDefault="007478E7" w:rsidP="005A4700">
      <w:pPr>
        <w:rPr>
          <w:bCs/>
        </w:rPr>
      </w:pPr>
      <w:proofErr w:type="gramStart"/>
      <w:r w:rsidRPr="007478E7">
        <w:rPr>
          <w:bCs/>
        </w:rPr>
        <w:t xml:space="preserve">Figure </w:t>
      </w:r>
      <w:r w:rsidR="00885E87">
        <w:rPr>
          <w:bCs/>
        </w:rPr>
        <w:t>6</w:t>
      </w:r>
      <w:r w:rsidRPr="007478E7">
        <w:rPr>
          <w:bCs/>
        </w:rPr>
        <w:t>.</w:t>
      </w:r>
      <w:proofErr w:type="gramEnd"/>
      <w:r w:rsidRPr="007478E7">
        <w:rPr>
          <w:bCs/>
        </w:rPr>
        <w:t xml:space="preserve"> – Innovative Engineering Design Thematic icons.</w:t>
      </w:r>
    </w:p>
    <w:p w:rsidR="007478E7" w:rsidRDefault="007478E7" w:rsidP="007478E7">
      <w:pPr>
        <w:rPr>
          <w:bCs/>
        </w:rPr>
      </w:pPr>
    </w:p>
    <w:p w:rsidR="00280ADD" w:rsidRDefault="00FA64B4" w:rsidP="00EA0261">
      <w:r>
        <w:br w:type="page"/>
      </w:r>
    </w:p>
    <w:p w:rsidR="00302F86" w:rsidRPr="00302F86" w:rsidRDefault="00302F86" w:rsidP="00EA0261">
      <w:pPr>
        <w:rPr>
          <w:b/>
          <w:sz w:val="20"/>
          <w:szCs w:val="20"/>
        </w:rPr>
      </w:pPr>
      <w:r w:rsidRPr="00302F86">
        <w:rPr>
          <w:b/>
          <w:sz w:val="20"/>
          <w:szCs w:val="20"/>
        </w:rPr>
        <w:lastRenderedPageBreak/>
        <w:t>Bibliography</w:t>
      </w:r>
    </w:p>
    <w:p w:rsidR="007478E7" w:rsidRDefault="007478E7" w:rsidP="007478E7">
      <w:pPr>
        <w:tabs>
          <w:tab w:val="num" w:pos="720"/>
        </w:tabs>
        <w:rPr>
          <w:sz w:val="20"/>
          <w:szCs w:val="20"/>
        </w:rPr>
      </w:pPr>
    </w:p>
    <w:p w:rsidR="00237E81" w:rsidRPr="00237E81" w:rsidRDefault="0020135A" w:rsidP="00CB4B25">
      <w:pPr>
        <w:numPr>
          <w:ilvl w:val="0"/>
          <w:numId w:val="5"/>
        </w:numPr>
        <w:tabs>
          <w:tab w:val="clear" w:pos="720"/>
          <w:tab w:val="num" w:pos="360"/>
        </w:tabs>
        <w:ind w:left="360"/>
        <w:rPr>
          <w:i/>
          <w:sz w:val="20"/>
          <w:szCs w:val="20"/>
        </w:rPr>
      </w:pPr>
      <w:smartTag w:uri="urn:schemas-microsoft-com:office:smarttags" w:element="PersonName">
        <w:r w:rsidRPr="007478E7">
          <w:rPr>
            <w:sz w:val="20"/>
            <w:szCs w:val="20"/>
          </w:rPr>
          <w:t>Camarda, Charles J.</w:t>
        </w:r>
      </w:smartTag>
      <w:r w:rsidRPr="007478E7">
        <w:rPr>
          <w:sz w:val="20"/>
          <w:szCs w:val="20"/>
        </w:rPr>
        <w:t xml:space="preserve">:  “A Return to Innovative Engineering Design, Critical Thinking, and Systems Engineering.”  Keynote address presented at “The International Thermal Conductivity Conference (ITCC) and the International Thermal Expansion symposium (ITES), </w:t>
      </w:r>
      <w:smartTag w:uri="urn:schemas-microsoft-com:office:smarttags" w:element="place">
        <w:smartTag w:uri="urn:schemas-microsoft-com:office:smarttags" w:element="City">
          <w:r w:rsidRPr="007478E7">
            <w:rPr>
              <w:sz w:val="20"/>
              <w:szCs w:val="20"/>
            </w:rPr>
            <w:t>Birmingham</w:t>
          </w:r>
        </w:smartTag>
        <w:r w:rsidRPr="007478E7">
          <w:rPr>
            <w:sz w:val="20"/>
            <w:szCs w:val="20"/>
          </w:rPr>
          <w:t xml:space="preserve">, </w:t>
        </w:r>
        <w:smartTag w:uri="urn:schemas-microsoft-com:office:smarttags" w:element="State">
          <w:r w:rsidRPr="007478E7">
            <w:rPr>
              <w:sz w:val="20"/>
              <w:szCs w:val="20"/>
            </w:rPr>
            <w:t>AL</w:t>
          </w:r>
        </w:smartTag>
      </w:smartTag>
      <w:r w:rsidRPr="007478E7">
        <w:rPr>
          <w:sz w:val="20"/>
          <w:szCs w:val="20"/>
        </w:rPr>
        <w:t>, June 24-27, 2007.</w:t>
      </w:r>
    </w:p>
    <w:p w:rsidR="00237E81" w:rsidRDefault="007478E7" w:rsidP="00CB4B25">
      <w:pPr>
        <w:numPr>
          <w:ilvl w:val="0"/>
          <w:numId w:val="5"/>
        </w:numPr>
        <w:tabs>
          <w:tab w:val="clear" w:pos="720"/>
          <w:tab w:val="num" w:pos="360"/>
        </w:tabs>
        <w:ind w:left="360"/>
        <w:rPr>
          <w:i/>
          <w:sz w:val="20"/>
          <w:szCs w:val="20"/>
        </w:rPr>
      </w:pPr>
      <w:proofErr w:type="spellStart"/>
      <w:proofErr w:type="gramStart"/>
      <w:r w:rsidRPr="007478E7">
        <w:rPr>
          <w:sz w:val="20"/>
          <w:szCs w:val="20"/>
        </w:rPr>
        <w:t>Ko</w:t>
      </w:r>
      <w:proofErr w:type="spellEnd"/>
      <w:proofErr w:type="gramEnd"/>
      <w:r w:rsidRPr="007478E7">
        <w:rPr>
          <w:sz w:val="20"/>
          <w:szCs w:val="20"/>
        </w:rPr>
        <w:t xml:space="preserve">, Stephen and </w:t>
      </w:r>
      <w:smartTag w:uri="urn:schemas-microsoft-com:office:smarttags" w:element="place">
        <w:smartTag w:uri="urn:schemas-microsoft-com:office:smarttags" w:element="City">
          <w:r w:rsidRPr="007478E7">
            <w:rPr>
              <w:sz w:val="20"/>
              <w:szCs w:val="20"/>
            </w:rPr>
            <w:t>Butler</w:t>
          </w:r>
        </w:smartTag>
      </w:smartTag>
      <w:r w:rsidRPr="007478E7">
        <w:rPr>
          <w:sz w:val="20"/>
          <w:szCs w:val="20"/>
        </w:rPr>
        <w:t xml:space="preserve">, John E.:  “Creativity:  a Key Link to Entrepreneurial Behavior.”  </w:t>
      </w:r>
      <w:smartTag w:uri="urn:schemas-microsoft-com:office:smarttags" w:element="PlaceName">
        <w:r w:rsidRPr="007478E7">
          <w:rPr>
            <w:sz w:val="20"/>
            <w:szCs w:val="20"/>
          </w:rPr>
          <w:t>Kelly</w:t>
        </w:r>
      </w:smartTag>
      <w:r w:rsidRPr="007478E7">
        <w:rPr>
          <w:sz w:val="20"/>
          <w:szCs w:val="20"/>
        </w:rPr>
        <w:t xml:space="preserve"> </w:t>
      </w:r>
      <w:smartTag w:uri="urn:schemas-microsoft-com:office:smarttags" w:element="PlaceName">
        <w:r w:rsidRPr="007478E7">
          <w:rPr>
            <w:sz w:val="20"/>
            <w:szCs w:val="20"/>
          </w:rPr>
          <w:t>School</w:t>
        </w:r>
      </w:smartTag>
      <w:r w:rsidRPr="007478E7">
        <w:rPr>
          <w:sz w:val="20"/>
          <w:szCs w:val="20"/>
        </w:rPr>
        <w:t xml:space="preserve"> of Business, </w:t>
      </w:r>
      <w:smartTag w:uri="urn:schemas-microsoft-com:office:smarttags" w:element="place">
        <w:smartTag w:uri="urn:schemas-microsoft-com:office:smarttags" w:element="PlaceName">
          <w:r w:rsidRPr="007478E7">
            <w:rPr>
              <w:sz w:val="20"/>
              <w:szCs w:val="20"/>
            </w:rPr>
            <w:t>Indiana</w:t>
          </w:r>
        </w:smartTag>
        <w:r w:rsidRPr="007478E7">
          <w:rPr>
            <w:sz w:val="20"/>
            <w:szCs w:val="20"/>
          </w:rPr>
          <w:t xml:space="preserve"> </w:t>
        </w:r>
        <w:smartTag w:uri="urn:schemas-microsoft-com:office:smarttags" w:element="PlaceType">
          <w:r w:rsidRPr="007478E7">
            <w:rPr>
              <w:sz w:val="20"/>
              <w:szCs w:val="20"/>
            </w:rPr>
            <w:t>University</w:t>
          </w:r>
        </w:smartTag>
      </w:smartTag>
      <w:r w:rsidRPr="007478E7">
        <w:rPr>
          <w:sz w:val="20"/>
          <w:szCs w:val="20"/>
        </w:rPr>
        <w:t xml:space="preserve"> and Business Horizons (2007) 50, pp 365-372.</w:t>
      </w:r>
    </w:p>
    <w:p w:rsidR="00237E81" w:rsidRDefault="007478E7" w:rsidP="00CB4B25">
      <w:pPr>
        <w:numPr>
          <w:ilvl w:val="0"/>
          <w:numId w:val="5"/>
        </w:numPr>
        <w:tabs>
          <w:tab w:val="clear" w:pos="720"/>
          <w:tab w:val="num" w:pos="360"/>
        </w:tabs>
        <w:ind w:left="360"/>
        <w:rPr>
          <w:i/>
          <w:sz w:val="20"/>
          <w:szCs w:val="20"/>
        </w:rPr>
      </w:pPr>
      <w:r w:rsidRPr="007478E7">
        <w:rPr>
          <w:i/>
          <w:sz w:val="20"/>
          <w:szCs w:val="20"/>
        </w:rPr>
        <w:t xml:space="preserve">The Creative Company – How to Grow and Harvest Great Ideas.  </w:t>
      </w:r>
      <w:r w:rsidR="00C1349B">
        <w:rPr>
          <w:sz w:val="20"/>
          <w:szCs w:val="20"/>
        </w:rPr>
        <w:t>The H</w:t>
      </w:r>
      <w:r w:rsidRPr="007478E7">
        <w:rPr>
          <w:sz w:val="20"/>
          <w:szCs w:val="20"/>
        </w:rPr>
        <w:t xml:space="preserve">arvard Business Review </w:t>
      </w:r>
      <w:proofErr w:type="spellStart"/>
      <w:r w:rsidRPr="007478E7">
        <w:rPr>
          <w:sz w:val="20"/>
          <w:szCs w:val="20"/>
        </w:rPr>
        <w:t>OnPoint</w:t>
      </w:r>
      <w:proofErr w:type="spellEnd"/>
      <w:r w:rsidRPr="007478E7">
        <w:rPr>
          <w:sz w:val="20"/>
          <w:szCs w:val="20"/>
        </w:rPr>
        <w:t xml:space="preserve"> Executive Edition, </w:t>
      </w:r>
      <w:proofErr w:type="gramStart"/>
      <w:r w:rsidRPr="007478E7">
        <w:rPr>
          <w:sz w:val="20"/>
          <w:szCs w:val="20"/>
        </w:rPr>
        <w:t>Spring</w:t>
      </w:r>
      <w:proofErr w:type="gramEnd"/>
      <w:r w:rsidRPr="007478E7">
        <w:rPr>
          <w:sz w:val="20"/>
          <w:szCs w:val="20"/>
        </w:rPr>
        <w:t xml:space="preserve"> 2007.</w:t>
      </w:r>
    </w:p>
    <w:p w:rsidR="007478E7" w:rsidRPr="007478E7" w:rsidRDefault="007478E7" w:rsidP="00CB4B25">
      <w:pPr>
        <w:numPr>
          <w:ilvl w:val="0"/>
          <w:numId w:val="5"/>
        </w:numPr>
        <w:tabs>
          <w:tab w:val="clear" w:pos="720"/>
          <w:tab w:val="num" w:pos="360"/>
        </w:tabs>
        <w:ind w:left="360"/>
        <w:rPr>
          <w:i/>
          <w:sz w:val="20"/>
          <w:szCs w:val="20"/>
        </w:rPr>
      </w:pPr>
      <w:r w:rsidRPr="007478E7">
        <w:rPr>
          <w:sz w:val="20"/>
          <w:szCs w:val="20"/>
        </w:rPr>
        <w:t xml:space="preserve">Albert, Robert S. and </w:t>
      </w:r>
      <w:proofErr w:type="spellStart"/>
      <w:r w:rsidRPr="007478E7">
        <w:rPr>
          <w:sz w:val="20"/>
          <w:szCs w:val="20"/>
        </w:rPr>
        <w:t>Runco</w:t>
      </w:r>
      <w:proofErr w:type="spellEnd"/>
      <w:r w:rsidRPr="007478E7">
        <w:rPr>
          <w:sz w:val="20"/>
          <w:szCs w:val="20"/>
        </w:rPr>
        <w:t>, Mark A.:  “A History of Research on Creativity.”  In “Handbook of Creativity”, Robert J. Sternberg editor, Cambridge University Press, 1999.</w:t>
      </w:r>
    </w:p>
    <w:p w:rsidR="00C1349B" w:rsidRDefault="00C1349B" w:rsidP="00CB4B25">
      <w:pPr>
        <w:numPr>
          <w:ilvl w:val="0"/>
          <w:numId w:val="5"/>
        </w:numPr>
        <w:tabs>
          <w:tab w:val="clear" w:pos="720"/>
          <w:tab w:val="num" w:pos="360"/>
        </w:tabs>
        <w:ind w:left="360"/>
        <w:rPr>
          <w:sz w:val="20"/>
          <w:szCs w:val="20"/>
        </w:rPr>
      </w:pPr>
      <w:proofErr w:type="spellStart"/>
      <w:r>
        <w:rPr>
          <w:sz w:val="20"/>
          <w:szCs w:val="20"/>
        </w:rPr>
        <w:t>Csikszentmihalyi</w:t>
      </w:r>
      <w:proofErr w:type="spellEnd"/>
      <w:r>
        <w:rPr>
          <w:sz w:val="20"/>
          <w:szCs w:val="20"/>
        </w:rPr>
        <w:t xml:space="preserve">, </w:t>
      </w:r>
      <w:proofErr w:type="spellStart"/>
      <w:r>
        <w:rPr>
          <w:sz w:val="20"/>
          <w:szCs w:val="20"/>
        </w:rPr>
        <w:t>Mihaly</w:t>
      </w:r>
      <w:proofErr w:type="spellEnd"/>
      <w:r>
        <w:rPr>
          <w:sz w:val="20"/>
          <w:szCs w:val="20"/>
        </w:rPr>
        <w:t xml:space="preserve">:  “Creativity – Flow and the Psychology of Discovery and Invention.”  </w:t>
      </w:r>
      <w:proofErr w:type="spellStart"/>
      <w:r>
        <w:rPr>
          <w:sz w:val="20"/>
          <w:szCs w:val="20"/>
        </w:rPr>
        <w:t>Perseus</w:t>
      </w:r>
      <w:proofErr w:type="spellEnd"/>
      <w:r>
        <w:rPr>
          <w:sz w:val="20"/>
          <w:szCs w:val="20"/>
        </w:rPr>
        <w:t xml:space="preserve"> Publishing, 1997.</w:t>
      </w:r>
    </w:p>
    <w:p w:rsidR="007478E7" w:rsidRPr="007478E7" w:rsidRDefault="007478E7" w:rsidP="00CB4B25">
      <w:pPr>
        <w:numPr>
          <w:ilvl w:val="0"/>
          <w:numId w:val="5"/>
        </w:numPr>
        <w:tabs>
          <w:tab w:val="clear" w:pos="720"/>
          <w:tab w:val="num" w:pos="360"/>
        </w:tabs>
        <w:ind w:left="360"/>
        <w:rPr>
          <w:sz w:val="20"/>
          <w:szCs w:val="20"/>
        </w:rPr>
      </w:pPr>
      <w:proofErr w:type="spellStart"/>
      <w:r w:rsidRPr="007478E7">
        <w:rPr>
          <w:sz w:val="20"/>
          <w:szCs w:val="20"/>
        </w:rPr>
        <w:t>Bennis</w:t>
      </w:r>
      <w:proofErr w:type="spellEnd"/>
      <w:r w:rsidRPr="007478E7">
        <w:rPr>
          <w:sz w:val="20"/>
          <w:szCs w:val="20"/>
        </w:rPr>
        <w:t xml:space="preserve">, Warren and </w:t>
      </w:r>
      <w:proofErr w:type="spellStart"/>
      <w:r w:rsidRPr="007478E7">
        <w:rPr>
          <w:sz w:val="20"/>
          <w:szCs w:val="20"/>
        </w:rPr>
        <w:t>Biederman</w:t>
      </w:r>
      <w:proofErr w:type="spellEnd"/>
      <w:r w:rsidRPr="007478E7">
        <w:rPr>
          <w:sz w:val="20"/>
          <w:szCs w:val="20"/>
        </w:rPr>
        <w:t xml:space="preserve">, Patricia Ward:  “Organizing Genius – The Secrets of Creative Collaboration.”  </w:t>
      </w:r>
      <w:proofErr w:type="spellStart"/>
      <w:r w:rsidRPr="007478E7">
        <w:rPr>
          <w:sz w:val="20"/>
          <w:szCs w:val="20"/>
        </w:rPr>
        <w:t>Perseus</w:t>
      </w:r>
      <w:proofErr w:type="spellEnd"/>
      <w:r w:rsidRPr="007478E7">
        <w:rPr>
          <w:sz w:val="20"/>
          <w:szCs w:val="20"/>
        </w:rPr>
        <w:t xml:space="preserve"> Publishing, 1997.</w:t>
      </w:r>
    </w:p>
    <w:p w:rsidR="007478E7" w:rsidRDefault="007478E7" w:rsidP="00CB4B25">
      <w:pPr>
        <w:numPr>
          <w:ilvl w:val="0"/>
          <w:numId w:val="5"/>
        </w:numPr>
        <w:tabs>
          <w:tab w:val="clear" w:pos="720"/>
          <w:tab w:val="num" w:pos="360"/>
        </w:tabs>
        <w:ind w:left="360"/>
        <w:rPr>
          <w:sz w:val="20"/>
          <w:szCs w:val="20"/>
        </w:rPr>
      </w:pPr>
      <w:r w:rsidRPr="007478E7">
        <w:rPr>
          <w:sz w:val="20"/>
          <w:szCs w:val="20"/>
        </w:rPr>
        <w:t>Jamison, Kay Redfield:  “Touched with Fire.”  Free Press Paperbacks, 1993.</w:t>
      </w:r>
    </w:p>
    <w:p w:rsidR="002A4594" w:rsidRPr="007478E7" w:rsidRDefault="002A4594" w:rsidP="00CB4B25">
      <w:pPr>
        <w:numPr>
          <w:ilvl w:val="0"/>
          <w:numId w:val="5"/>
        </w:numPr>
        <w:tabs>
          <w:tab w:val="clear" w:pos="720"/>
          <w:tab w:val="num" w:pos="360"/>
        </w:tabs>
        <w:ind w:left="360"/>
        <w:rPr>
          <w:sz w:val="20"/>
          <w:szCs w:val="20"/>
        </w:rPr>
      </w:pPr>
      <w:r>
        <w:rPr>
          <w:sz w:val="20"/>
          <w:szCs w:val="20"/>
        </w:rPr>
        <w:t xml:space="preserve">Mumford, Michael D.; Scott, </w:t>
      </w:r>
      <w:proofErr w:type="spellStart"/>
      <w:r>
        <w:rPr>
          <w:sz w:val="20"/>
          <w:szCs w:val="20"/>
        </w:rPr>
        <w:t>Ginamarie</w:t>
      </w:r>
      <w:proofErr w:type="spellEnd"/>
      <w:r>
        <w:rPr>
          <w:sz w:val="20"/>
          <w:szCs w:val="20"/>
        </w:rPr>
        <w:t xml:space="preserve"> M.; Gaddis, </w:t>
      </w:r>
      <w:proofErr w:type="spellStart"/>
      <w:r>
        <w:rPr>
          <w:sz w:val="20"/>
          <w:szCs w:val="20"/>
        </w:rPr>
        <w:t>Blane</w:t>
      </w:r>
      <w:proofErr w:type="spellEnd"/>
      <w:r>
        <w:rPr>
          <w:sz w:val="20"/>
          <w:szCs w:val="20"/>
        </w:rPr>
        <w:t>; and Strange, Jill M.:  “Leading Creative People:  Orchestrating Expertise and Relationships.”  The Leadership Quarterly 13 (2002), pp 705-750.</w:t>
      </w:r>
    </w:p>
    <w:p w:rsidR="007478E7" w:rsidRPr="007478E7" w:rsidRDefault="007478E7" w:rsidP="00CB4B25">
      <w:pPr>
        <w:numPr>
          <w:ilvl w:val="0"/>
          <w:numId w:val="5"/>
        </w:numPr>
        <w:tabs>
          <w:tab w:val="clear" w:pos="720"/>
          <w:tab w:val="num" w:pos="360"/>
        </w:tabs>
        <w:ind w:left="360"/>
        <w:rPr>
          <w:sz w:val="20"/>
          <w:szCs w:val="20"/>
        </w:rPr>
      </w:pPr>
      <w:r w:rsidRPr="007478E7">
        <w:rPr>
          <w:i/>
          <w:sz w:val="20"/>
          <w:szCs w:val="20"/>
        </w:rPr>
        <w:t>Report of the Columbia Accident Investigation Board</w:t>
      </w:r>
      <w:r w:rsidRPr="007478E7">
        <w:rPr>
          <w:sz w:val="20"/>
          <w:szCs w:val="20"/>
        </w:rPr>
        <w:t xml:space="preserve">, Government Printing Office, </w:t>
      </w:r>
      <w:smartTag w:uri="urn:schemas-microsoft-com:office:smarttags" w:element="place">
        <w:smartTag w:uri="urn:schemas-microsoft-com:office:smarttags" w:element="City">
          <w:r w:rsidRPr="007478E7">
            <w:rPr>
              <w:sz w:val="20"/>
              <w:szCs w:val="20"/>
            </w:rPr>
            <w:t>Washington</w:t>
          </w:r>
        </w:smartTag>
        <w:r w:rsidRPr="007478E7">
          <w:rPr>
            <w:sz w:val="20"/>
            <w:szCs w:val="20"/>
          </w:rPr>
          <w:t xml:space="preserve">, </w:t>
        </w:r>
        <w:smartTag w:uri="urn:schemas-microsoft-com:office:smarttags" w:element="State">
          <w:r w:rsidRPr="007478E7">
            <w:rPr>
              <w:sz w:val="20"/>
              <w:szCs w:val="20"/>
            </w:rPr>
            <w:t>D.C.</w:t>
          </w:r>
        </w:smartTag>
      </w:smartTag>
      <w:r w:rsidRPr="007478E7">
        <w:rPr>
          <w:sz w:val="20"/>
          <w:szCs w:val="20"/>
        </w:rPr>
        <w:t>, august 2003.</w:t>
      </w:r>
    </w:p>
    <w:p w:rsidR="007478E7" w:rsidRPr="007478E7" w:rsidRDefault="007478E7" w:rsidP="00CB4B25">
      <w:pPr>
        <w:numPr>
          <w:ilvl w:val="0"/>
          <w:numId w:val="5"/>
        </w:numPr>
        <w:tabs>
          <w:tab w:val="clear" w:pos="720"/>
          <w:tab w:val="num" w:pos="360"/>
        </w:tabs>
        <w:ind w:left="360"/>
        <w:rPr>
          <w:sz w:val="20"/>
          <w:szCs w:val="20"/>
        </w:rPr>
      </w:pPr>
      <w:r w:rsidRPr="007478E7">
        <w:rPr>
          <w:sz w:val="20"/>
          <w:szCs w:val="20"/>
        </w:rPr>
        <w:t xml:space="preserve">Starbuck, William H. and </w:t>
      </w:r>
      <w:proofErr w:type="spellStart"/>
      <w:r w:rsidRPr="007478E7">
        <w:rPr>
          <w:sz w:val="20"/>
          <w:szCs w:val="20"/>
        </w:rPr>
        <w:t>Farjoun</w:t>
      </w:r>
      <w:proofErr w:type="spellEnd"/>
      <w:r w:rsidRPr="007478E7">
        <w:rPr>
          <w:sz w:val="20"/>
          <w:szCs w:val="20"/>
        </w:rPr>
        <w:t xml:space="preserve">, Moshe:  “Organization at the Limit – Lessons from the </w:t>
      </w:r>
      <w:smartTag w:uri="urn:schemas-microsoft-com:office:smarttags" w:element="place">
        <w:smartTag w:uri="urn:schemas-microsoft-com:office:smarttags" w:element="City">
          <w:r w:rsidRPr="007478E7">
            <w:rPr>
              <w:sz w:val="20"/>
              <w:szCs w:val="20"/>
            </w:rPr>
            <w:t>Columbia</w:t>
          </w:r>
        </w:smartTag>
      </w:smartTag>
      <w:r w:rsidRPr="007478E7">
        <w:rPr>
          <w:sz w:val="20"/>
          <w:szCs w:val="20"/>
        </w:rPr>
        <w:t xml:space="preserve"> </w:t>
      </w:r>
      <w:proofErr w:type="gramStart"/>
      <w:r w:rsidRPr="007478E7">
        <w:rPr>
          <w:sz w:val="20"/>
          <w:szCs w:val="20"/>
        </w:rPr>
        <w:t>Disaster.:</w:t>
      </w:r>
      <w:proofErr w:type="gramEnd"/>
      <w:r w:rsidRPr="007478E7">
        <w:rPr>
          <w:sz w:val="20"/>
          <w:szCs w:val="20"/>
        </w:rPr>
        <w:t xml:space="preserve">  Blackwell Publishing Ltd., 2005.</w:t>
      </w:r>
    </w:p>
    <w:p w:rsidR="007478E7" w:rsidRPr="007478E7" w:rsidRDefault="007478E7" w:rsidP="00CB4B25">
      <w:pPr>
        <w:numPr>
          <w:ilvl w:val="0"/>
          <w:numId w:val="5"/>
        </w:numPr>
        <w:tabs>
          <w:tab w:val="clear" w:pos="720"/>
          <w:tab w:val="num" w:pos="360"/>
        </w:tabs>
        <w:ind w:left="360"/>
        <w:rPr>
          <w:sz w:val="20"/>
          <w:szCs w:val="20"/>
        </w:rPr>
      </w:pPr>
      <w:proofErr w:type="spellStart"/>
      <w:r w:rsidRPr="007478E7">
        <w:rPr>
          <w:sz w:val="20"/>
          <w:szCs w:val="20"/>
        </w:rPr>
        <w:t>Altschuller</w:t>
      </w:r>
      <w:proofErr w:type="spellEnd"/>
      <w:r w:rsidRPr="007478E7">
        <w:rPr>
          <w:sz w:val="20"/>
          <w:szCs w:val="20"/>
        </w:rPr>
        <w:t xml:space="preserve">, </w:t>
      </w:r>
      <w:proofErr w:type="spellStart"/>
      <w:r w:rsidRPr="007478E7">
        <w:rPr>
          <w:sz w:val="20"/>
          <w:szCs w:val="20"/>
        </w:rPr>
        <w:t>Genrich</w:t>
      </w:r>
      <w:proofErr w:type="spellEnd"/>
      <w:r w:rsidRPr="007478E7">
        <w:rPr>
          <w:sz w:val="20"/>
          <w:szCs w:val="20"/>
        </w:rPr>
        <w:t xml:space="preserve">:  “And Suddenly the Inventor Appeared – TRIZ the Theory of Inventive Problem Solving.”  Technical Innovation Center, Inc., </w:t>
      </w:r>
      <w:smartTag w:uri="urn:schemas-microsoft-com:office:smarttags" w:element="place">
        <w:smartTag w:uri="urn:schemas-microsoft-com:office:smarttags" w:element="City">
          <w:r w:rsidRPr="007478E7">
            <w:rPr>
              <w:sz w:val="20"/>
              <w:szCs w:val="20"/>
            </w:rPr>
            <w:t>Worcester</w:t>
          </w:r>
        </w:smartTag>
        <w:r w:rsidRPr="007478E7">
          <w:rPr>
            <w:sz w:val="20"/>
            <w:szCs w:val="20"/>
          </w:rPr>
          <w:t xml:space="preserve"> </w:t>
        </w:r>
        <w:smartTag w:uri="urn:schemas-microsoft-com:office:smarttags" w:element="State">
          <w:r w:rsidRPr="007478E7">
            <w:rPr>
              <w:sz w:val="20"/>
              <w:szCs w:val="20"/>
            </w:rPr>
            <w:t>Massachusetts</w:t>
          </w:r>
        </w:smartTag>
      </w:smartTag>
      <w:r w:rsidRPr="007478E7">
        <w:rPr>
          <w:sz w:val="20"/>
          <w:szCs w:val="20"/>
        </w:rPr>
        <w:t>, 2001.</w:t>
      </w:r>
    </w:p>
    <w:p w:rsidR="007478E7" w:rsidRPr="007478E7" w:rsidRDefault="007478E7" w:rsidP="00CB4B25">
      <w:pPr>
        <w:numPr>
          <w:ilvl w:val="0"/>
          <w:numId w:val="5"/>
        </w:numPr>
        <w:tabs>
          <w:tab w:val="clear" w:pos="720"/>
          <w:tab w:val="num" w:pos="360"/>
        </w:tabs>
        <w:ind w:left="360"/>
        <w:rPr>
          <w:sz w:val="20"/>
          <w:szCs w:val="20"/>
        </w:rPr>
      </w:pPr>
      <w:r w:rsidRPr="007478E7">
        <w:rPr>
          <w:sz w:val="20"/>
          <w:szCs w:val="20"/>
        </w:rPr>
        <w:t>Matson, Jack V.:  “Innovate of Die – A Personal Perspective on the Art of Innovation.”  Paradigm Press Ltd., 1996.</w:t>
      </w:r>
    </w:p>
    <w:p w:rsidR="007478E7" w:rsidRPr="007478E7" w:rsidRDefault="007478E7" w:rsidP="00CB4B25">
      <w:pPr>
        <w:numPr>
          <w:ilvl w:val="0"/>
          <w:numId w:val="5"/>
        </w:numPr>
        <w:tabs>
          <w:tab w:val="clear" w:pos="720"/>
          <w:tab w:val="num" w:pos="360"/>
        </w:tabs>
        <w:ind w:left="360"/>
        <w:rPr>
          <w:sz w:val="20"/>
          <w:szCs w:val="20"/>
        </w:rPr>
      </w:pPr>
      <w:r w:rsidRPr="007478E7">
        <w:rPr>
          <w:sz w:val="20"/>
          <w:szCs w:val="20"/>
        </w:rPr>
        <w:t>Adams, James L.:  “Conceptual Blockbusting – A Guide to Better Ideas.”  4</w:t>
      </w:r>
      <w:r w:rsidRPr="007478E7">
        <w:rPr>
          <w:sz w:val="20"/>
          <w:szCs w:val="20"/>
          <w:vertAlign w:val="superscript"/>
        </w:rPr>
        <w:t>th</w:t>
      </w:r>
      <w:r w:rsidRPr="007478E7">
        <w:rPr>
          <w:sz w:val="20"/>
          <w:szCs w:val="20"/>
        </w:rPr>
        <w:t xml:space="preserve"> ed. Basic Books, 2001.</w:t>
      </w:r>
    </w:p>
    <w:p w:rsidR="007478E7" w:rsidRPr="007478E7" w:rsidRDefault="007478E7" w:rsidP="00CB4B25">
      <w:pPr>
        <w:numPr>
          <w:ilvl w:val="0"/>
          <w:numId w:val="5"/>
        </w:numPr>
        <w:tabs>
          <w:tab w:val="clear" w:pos="720"/>
          <w:tab w:val="num" w:pos="360"/>
        </w:tabs>
        <w:ind w:left="360"/>
        <w:rPr>
          <w:sz w:val="20"/>
          <w:szCs w:val="20"/>
        </w:rPr>
      </w:pPr>
      <w:r w:rsidRPr="007478E7">
        <w:rPr>
          <w:sz w:val="20"/>
          <w:szCs w:val="20"/>
        </w:rPr>
        <w:t>Osborn, Alex F.:  “Applied Imagination – Principles and Procedures of Creative Thinking.”  Charles Scribner’s Sons, 1957.</w:t>
      </w:r>
    </w:p>
    <w:p w:rsidR="007478E7" w:rsidRDefault="007478E7" w:rsidP="00CB4B25">
      <w:pPr>
        <w:numPr>
          <w:ilvl w:val="0"/>
          <w:numId w:val="5"/>
        </w:numPr>
        <w:tabs>
          <w:tab w:val="clear" w:pos="720"/>
          <w:tab w:val="num" w:pos="360"/>
        </w:tabs>
        <w:ind w:left="360"/>
        <w:rPr>
          <w:sz w:val="20"/>
          <w:szCs w:val="20"/>
        </w:rPr>
      </w:pPr>
      <w:proofErr w:type="spellStart"/>
      <w:r w:rsidRPr="007478E7">
        <w:rPr>
          <w:sz w:val="20"/>
          <w:szCs w:val="20"/>
        </w:rPr>
        <w:t>Petrowski</w:t>
      </w:r>
      <w:proofErr w:type="spellEnd"/>
      <w:r w:rsidRPr="007478E7">
        <w:rPr>
          <w:sz w:val="20"/>
          <w:szCs w:val="20"/>
        </w:rPr>
        <w:t xml:space="preserve">, Henry:  “Design Paradigms – Case Histories of Error and Judgment in Engineering.”  </w:t>
      </w:r>
      <w:smartTag w:uri="urn:schemas-microsoft-com:office:smarttags" w:element="place">
        <w:smartTag w:uri="urn:schemas-microsoft-com:office:smarttags" w:element="PlaceName">
          <w:r w:rsidRPr="007478E7">
            <w:rPr>
              <w:sz w:val="20"/>
              <w:szCs w:val="20"/>
            </w:rPr>
            <w:t>Cambridge</w:t>
          </w:r>
        </w:smartTag>
        <w:r w:rsidRPr="007478E7">
          <w:rPr>
            <w:sz w:val="20"/>
            <w:szCs w:val="20"/>
          </w:rPr>
          <w:t xml:space="preserve"> </w:t>
        </w:r>
        <w:smartTag w:uri="urn:schemas-microsoft-com:office:smarttags" w:element="PlaceType">
          <w:r w:rsidRPr="007478E7">
            <w:rPr>
              <w:sz w:val="20"/>
              <w:szCs w:val="20"/>
            </w:rPr>
            <w:t>University</w:t>
          </w:r>
        </w:smartTag>
      </w:smartTag>
      <w:r w:rsidRPr="007478E7">
        <w:rPr>
          <w:sz w:val="20"/>
          <w:szCs w:val="20"/>
        </w:rPr>
        <w:t xml:space="preserve"> Press, 1994.</w:t>
      </w:r>
    </w:p>
    <w:p w:rsidR="006F742A" w:rsidRPr="006F742A" w:rsidRDefault="006F742A" w:rsidP="00CB4B25">
      <w:pPr>
        <w:numPr>
          <w:ilvl w:val="0"/>
          <w:numId w:val="5"/>
        </w:numPr>
        <w:tabs>
          <w:tab w:val="clear" w:pos="720"/>
          <w:tab w:val="num" w:pos="360"/>
        </w:tabs>
        <w:ind w:left="360"/>
        <w:rPr>
          <w:sz w:val="20"/>
          <w:szCs w:val="20"/>
        </w:rPr>
      </w:pPr>
      <w:smartTag w:uri="urn:schemas-microsoft-com:office:smarttags" w:element="place">
        <w:r w:rsidRPr="006F742A">
          <w:rPr>
            <w:sz w:val="20"/>
            <w:szCs w:val="20"/>
          </w:rPr>
          <w:t>Crawley</w:t>
        </w:r>
      </w:smartTag>
      <w:r w:rsidRPr="006F742A">
        <w:rPr>
          <w:sz w:val="20"/>
          <w:szCs w:val="20"/>
        </w:rPr>
        <w:t xml:space="preserve">, Edward F.:  “Creating the CDIO Syllabus, </w:t>
      </w:r>
      <w:proofErr w:type="gramStart"/>
      <w:r w:rsidRPr="006F742A">
        <w:rPr>
          <w:sz w:val="20"/>
          <w:szCs w:val="20"/>
        </w:rPr>
        <w:t>A</w:t>
      </w:r>
      <w:proofErr w:type="gramEnd"/>
      <w:r w:rsidRPr="006F742A">
        <w:rPr>
          <w:sz w:val="20"/>
          <w:szCs w:val="20"/>
        </w:rPr>
        <w:t xml:space="preserve"> Universal Template   for Engineering Education.”  Presented at the 32</w:t>
      </w:r>
      <w:r w:rsidRPr="006F742A">
        <w:rPr>
          <w:sz w:val="20"/>
          <w:szCs w:val="20"/>
          <w:vertAlign w:val="superscript"/>
        </w:rPr>
        <w:t>nd</w:t>
      </w:r>
      <w:r w:rsidRPr="006F742A">
        <w:rPr>
          <w:sz w:val="20"/>
          <w:szCs w:val="20"/>
        </w:rPr>
        <w:t xml:space="preserve"> ASEE/IEEE Frontiers in Education Conference, November 6-7, 2002 </w:t>
      </w:r>
      <w:smartTag w:uri="urn:schemas-microsoft-com:office:smarttags" w:element="place">
        <w:smartTag w:uri="urn:schemas-microsoft-com:office:smarttags" w:element="City">
          <w:r w:rsidRPr="006F742A">
            <w:rPr>
              <w:sz w:val="20"/>
              <w:szCs w:val="20"/>
            </w:rPr>
            <w:t>Boston</w:t>
          </w:r>
        </w:smartTag>
        <w:r w:rsidRPr="006F742A">
          <w:rPr>
            <w:sz w:val="20"/>
            <w:szCs w:val="20"/>
          </w:rPr>
          <w:t xml:space="preserve">, </w:t>
        </w:r>
        <w:smartTag w:uri="urn:schemas-microsoft-com:office:smarttags" w:element="State">
          <w:r w:rsidRPr="006F742A">
            <w:rPr>
              <w:sz w:val="20"/>
              <w:szCs w:val="20"/>
            </w:rPr>
            <w:t>MA</w:t>
          </w:r>
        </w:smartTag>
      </w:smartTag>
      <w:r w:rsidRPr="006F742A">
        <w:rPr>
          <w:sz w:val="20"/>
          <w:szCs w:val="20"/>
        </w:rPr>
        <w:t>.  Paper No. 0-7803-7444-4/02.</w:t>
      </w:r>
    </w:p>
    <w:p w:rsidR="006F742A" w:rsidRPr="006F742A" w:rsidRDefault="006F742A" w:rsidP="00CB4B25">
      <w:pPr>
        <w:numPr>
          <w:ilvl w:val="0"/>
          <w:numId w:val="5"/>
        </w:numPr>
        <w:tabs>
          <w:tab w:val="clear" w:pos="720"/>
          <w:tab w:val="num" w:pos="360"/>
        </w:tabs>
        <w:ind w:left="360"/>
        <w:rPr>
          <w:sz w:val="20"/>
          <w:szCs w:val="20"/>
        </w:rPr>
      </w:pPr>
      <w:r w:rsidRPr="006F742A">
        <w:rPr>
          <w:sz w:val="20"/>
          <w:szCs w:val="20"/>
        </w:rPr>
        <w:t xml:space="preserve">Bilen, Sven G. and </w:t>
      </w:r>
      <w:smartTag w:uri="urn:schemas-microsoft-com:office:smarttags" w:element="place">
        <w:r w:rsidRPr="006F742A">
          <w:rPr>
            <w:sz w:val="20"/>
            <w:szCs w:val="20"/>
          </w:rPr>
          <w:t>Devon</w:t>
        </w:r>
      </w:smartTag>
      <w:r w:rsidR="00231DB9">
        <w:rPr>
          <w:sz w:val="20"/>
          <w:szCs w:val="20"/>
        </w:rPr>
        <w:t>, Richard F.: “</w:t>
      </w:r>
      <w:r w:rsidRPr="006F742A">
        <w:rPr>
          <w:sz w:val="20"/>
          <w:szCs w:val="20"/>
        </w:rPr>
        <w:t>Innovative engineering Design Education.”  International Conference</w:t>
      </w:r>
      <w:r w:rsidR="00FC13F0">
        <w:rPr>
          <w:sz w:val="20"/>
          <w:szCs w:val="20"/>
        </w:rPr>
        <w:t xml:space="preserve"> on Engineering Design (ICED), </w:t>
      </w:r>
      <w:smartTag w:uri="urn:schemas-microsoft-com:office:smarttags" w:element="City">
        <w:smartTag w:uri="urn:schemas-microsoft-com:office:smarttags" w:element="place">
          <w:r w:rsidR="00FC13F0">
            <w:rPr>
              <w:sz w:val="20"/>
              <w:szCs w:val="20"/>
            </w:rPr>
            <w:t>M</w:t>
          </w:r>
          <w:r w:rsidRPr="006F742A">
            <w:rPr>
              <w:sz w:val="20"/>
              <w:szCs w:val="20"/>
            </w:rPr>
            <w:t>elbourne</w:t>
          </w:r>
        </w:smartTag>
      </w:smartTag>
      <w:r w:rsidRPr="006F742A">
        <w:rPr>
          <w:sz w:val="20"/>
          <w:szCs w:val="20"/>
        </w:rPr>
        <w:t>, August 15-18, 2005.</w:t>
      </w:r>
    </w:p>
    <w:p w:rsidR="006F742A" w:rsidRPr="007478E7" w:rsidRDefault="006F742A" w:rsidP="006F742A">
      <w:pPr>
        <w:rPr>
          <w:sz w:val="20"/>
          <w:szCs w:val="20"/>
        </w:rPr>
      </w:pPr>
    </w:p>
    <w:sectPr w:rsidR="006F742A" w:rsidRPr="007478E7" w:rsidSect="00EA02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37EC"/>
    <w:multiLevelType w:val="hybridMultilevel"/>
    <w:tmpl w:val="99F0F4CE"/>
    <w:lvl w:ilvl="0" w:tplc="C0341AA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C20A1"/>
    <w:multiLevelType w:val="multilevel"/>
    <w:tmpl w:val="24BA5AA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71D3EC3"/>
    <w:multiLevelType w:val="hybridMultilevel"/>
    <w:tmpl w:val="24BA5AA8"/>
    <w:lvl w:ilvl="0" w:tplc="C0341AA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602B79"/>
    <w:multiLevelType w:val="hybridMultilevel"/>
    <w:tmpl w:val="F89C22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4A358AA"/>
    <w:multiLevelType w:val="hybridMultilevel"/>
    <w:tmpl w:val="826CD0C0"/>
    <w:lvl w:ilvl="0" w:tplc="52AC2B0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C36C06"/>
    <w:multiLevelType w:val="multilevel"/>
    <w:tmpl w:val="EA78808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508247C9"/>
    <w:multiLevelType w:val="hybridMultilevel"/>
    <w:tmpl w:val="2EB08672"/>
    <w:lvl w:ilvl="0" w:tplc="2B20F3A2">
      <w:start w:val="1"/>
      <w:numFmt w:val="decimal"/>
      <w:lvlText w:val="%1."/>
      <w:lvlJc w:val="left"/>
      <w:pPr>
        <w:tabs>
          <w:tab w:val="num" w:pos="720"/>
        </w:tabs>
        <w:ind w:left="720" w:hanging="360"/>
      </w:pPr>
      <w:rPr>
        <w:i w:val="0"/>
      </w:rPr>
    </w:lvl>
    <w:lvl w:ilvl="1" w:tplc="C0341AA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9810E3"/>
    <w:multiLevelType w:val="hybridMultilevel"/>
    <w:tmpl w:val="EA788088"/>
    <w:lvl w:ilvl="0" w:tplc="C0341AA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83B7D70"/>
    <w:multiLevelType w:val="hybridMultilevel"/>
    <w:tmpl w:val="0EDA03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8C0591E"/>
    <w:multiLevelType w:val="hybridMultilevel"/>
    <w:tmpl w:val="9D2AE1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2851E3F"/>
    <w:multiLevelType w:val="hybridMultilevel"/>
    <w:tmpl w:val="1C0C7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4"/>
  </w:num>
  <w:num w:numId="4">
    <w:abstractNumId w:val="0"/>
  </w:num>
  <w:num w:numId="5">
    <w:abstractNumId w:val="6"/>
  </w:num>
  <w:num w:numId="6">
    <w:abstractNumId w:val="2"/>
  </w:num>
  <w:num w:numId="7">
    <w:abstractNumId w:val="1"/>
  </w:num>
  <w:num w:numId="8">
    <w:abstractNumId w:val="7"/>
  </w:num>
  <w:num w:numId="9">
    <w:abstractNumId w:val="5"/>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D70704"/>
    <w:rsid w:val="00014C24"/>
    <w:rsid w:val="00016929"/>
    <w:rsid w:val="00016B83"/>
    <w:rsid w:val="0007604C"/>
    <w:rsid w:val="0008165A"/>
    <w:rsid w:val="000A2610"/>
    <w:rsid w:val="000B5254"/>
    <w:rsid w:val="000D6B84"/>
    <w:rsid w:val="000F3DB5"/>
    <w:rsid w:val="000F44F5"/>
    <w:rsid w:val="00103967"/>
    <w:rsid w:val="00103C19"/>
    <w:rsid w:val="00120F6D"/>
    <w:rsid w:val="00137920"/>
    <w:rsid w:val="001B786B"/>
    <w:rsid w:val="001D7710"/>
    <w:rsid w:val="001D7E64"/>
    <w:rsid w:val="001F264D"/>
    <w:rsid w:val="0020135A"/>
    <w:rsid w:val="0021033B"/>
    <w:rsid w:val="00231DB9"/>
    <w:rsid w:val="00237E81"/>
    <w:rsid w:val="00280ADD"/>
    <w:rsid w:val="00292EC9"/>
    <w:rsid w:val="002A4594"/>
    <w:rsid w:val="002A7B89"/>
    <w:rsid w:val="002B1C38"/>
    <w:rsid w:val="002B2E6D"/>
    <w:rsid w:val="002E2AA8"/>
    <w:rsid w:val="002E6E63"/>
    <w:rsid w:val="002F2DC5"/>
    <w:rsid w:val="00302F86"/>
    <w:rsid w:val="00356312"/>
    <w:rsid w:val="00361010"/>
    <w:rsid w:val="00376B65"/>
    <w:rsid w:val="00381406"/>
    <w:rsid w:val="0038247E"/>
    <w:rsid w:val="003A58B8"/>
    <w:rsid w:val="003C49AE"/>
    <w:rsid w:val="003E760B"/>
    <w:rsid w:val="003F35AD"/>
    <w:rsid w:val="003F399D"/>
    <w:rsid w:val="003F4478"/>
    <w:rsid w:val="00430463"/>
    <w:rsid w:val="00430EDA"/>
    <w:rsid w:val="00435AA4"/>
    <w:rsid w:val="00446AE6"/>
    <w:rsid w:val="00450D06"/>
    <w:rsid w:val="00454119"/>
    <w:rsid w:val="00465793"/>
    <w:rsid w:val="0046651E"/>
    <w:rsid w:val="00472233"/>
    <w:rsid w:val="00473426"/>
    <w:rsid w:val="00473BA6"/>
    <w:rsid w:val="004740D6"/>
    <w:rsid w:val="004752CF"/>
    <w:rsid w:val="004C4A10"/>
    <w:rsid w:val="004E1740"/>
    <w:rsid w:val="004F01B1"/>
    <w:rsid w:val="004F325B"/>
    <w:rsid w:val="0051064E"/>
    <w:rsid w:val="0052094C"/>
    <w:rsid w:val="00521148"/>
    <w:rsid w:val="00524AB5"/>
    <w:rsid w:val="0052617C"/>
    <w:rsid w:val="00547C89"/>
    <w:rsid w:val="00561AFB"/>
    <w:rsid w:val="00582454"/>
    <w:rsid w:val="0058559A"/>
    <w:rsid w:val="005A03F4"/>
    <w:rsid w:val="005A4700"/>
    <w:rsid w:val="005D77CB"/>
    <w:rsid w:val="005E634E"/>
    <w:rsid w:val="005F697D"/>
    <w:rsid w:val="0060342A"/>
    <w:rsid w:val="00616603"/>
    <w:rsid w:val="0062146F"/>
    <w:rsid w:val="00621AFD"/>
    <w:rsid w:val="00631BC6"/>
    <w:rsid w:val="006352E8"/>
    <w:rsid w:val="0065365E"/>
    <w:rsid w:val="006569F1"/>
    <w:rsid w:val="006570E0"/>
    <w:rsid w:val="0067473A"/>
    <w:rsid w:val="00677634"/>
    <w:rsid w:val="00677E3D"/>
    <w:rsid w:val="006819D0"/>
    <w:rsid w:val="006C3E1B"/>
    <w:rsid w:val="006C79EE"/>
    <w:rsid w:val="006D08C7"/>
    <w:rsid w:val="006F742A"/>
    <w:rsid w:val="00707B05"/>
    <w:rsid w:val="00717F6C"/>
    <w:rsid w:val="00731A3A"/>
    <w:rsid w:val="0073380F"/>
    <w:rsid w:val="007350EF"/>
    <w:rsid w:val="007478E7"/>
    <w:rsid w:val="00767207"/>
    <w:rsid w:val="00772168"/>
    <w:rsid w:val="00780117"/>
    <w:rsid w:val="007A36D8"/>
    <w:rsid w:val="007B0A8E"/>
    <w:rsid w:val="007C251B"/>
    <w:rsid w:val="007D4748"/>
    <w:rsid w:val="007E2EE1"/>
    <w:rsid w:val="007E5835"/>
    <w:rsid w:val="008242AD"/>
    <w:rsid w:val="00865275"/>
    <w:rsid w:val="0087768B"/>
    <w:rsid w:val="00885E87"/>
    <w:rsid w:val="008B3812"/>
    <w:rsid w:val="008E31EB"/>
    <w:rsid w:val="009109C0"/>
    <w:rsid w:val="009113B0"/>
    <w:rsid w:val="0094547C"/>
    <w:rsid w:val="009478D9"/>
    <w:rsid w:val="00951763"/>
    <w:rsid w:val="00954AD4"/>
    <w:rsid w:val="009624C2"/>
    <w:rsid w:val="00974561"/>
    <w:rsid w:val="009B2C39"/>
    <w:rsid w:val="009F2ED9"/>
    <w:rsid w:val="00A04F61"/>
    <w:rsid w:val="00A16AE2"/>
    <w:rsid w:val="00A26C84"/>
    <w:rsid w:val="00A27866"/>
    <w:rsid w:val="00A40485"/>
    <w:rsid w:val="00A51582"/>
    <w:rsid w:val="00A77DC8"/>
    <w:rsid w:val="00AA4E0C"/>
    <w:rsid w:val="00AA5D1A"/>
    <w:rsid w:val="00AB6C03"/>
    <w:rsid w:val="00AC3C6C"/>
    <w:rsid w:val="00AD5865"/>
    <w:rsid w:val="00B14B0A"/>
    <w:rsid w:val="00B200D9"/>
    <w:rsid w:val="00B22A7A"/>
    <w:rsid w:val="00B267E0"/>
    <w:rsid w:val="00B350F4"/>
    <w:rsid w:val="00B4097D"/>
    <w:rsid w:val="00BE1430"/>
    <w:rsid w:val="00C02263"/>
    <w:rsid w:val="00C0557A"/>
    <w:rsid w:val="00C10025"/>
    <w:rsid w:val="00C1349B"/>
    <w:rsid w:val="00C15807"/>
    <w:rsid w:val="00C27E99"/>
    <w:rsid w:val="00C35AF6"/>
    <w:rsid w:val="00C64704"/>
    <w:rsid w:val="00C649A8"/>
    <w:rsid w:val="00C67AC3"/>
    <w:rsid w:val="00C76976"/>
    <w:rsid w:val="00C81F9E"/>
    <w:rsid w:val="00CB4B25"/>
    <w:rsid w:val="00CB5EF0"/>
    <w:rsid w:val="00CC3E63"/>
    <w:rsid w:val="00CF1305"/>
    <w:rsid w:val="00D045AD"/>
    <w:rsid w:val="00D05C61"/>
    <w:rsid w:val="00D15051"/>
    <w:rsid w:val="00D30557"/>
    <w:rsid w:val="00D31665"/>
    <w:rsid w:val="00D41950"/>
    <w:rsid w:val="00D70704"/>
    <w:rsid w:val="00D762D9"/>
    <w:rsid w:val="00D95FB7"/>
    <w:rsid w:val="00DA29A4"/>
    <w:rsid w:val="00DB483B"/>
    <w:rsid w:val="00DF1FB0"/>
    <w:rsid w:val="00DF60B1"/>
    <w:rsid w:val="00E03E62"/>
    <w:rsid w:val="00E53190"/>
    <w:rsid w:val="00E5338C"/>
    <w:rsid w:val="00E723B0"/>
    <w:rsid w:val="00E75E38"/>
    <w:rsid w:val="00E97D67"/>
    <w:rsid w:val="00EA0261"/>
    <w:rsid w:val="00EA2A78"/>
    <w:rsid w:val="00F106BE"/>
    <w:rsid w:val="00F23EB0"/>
    <w:rsid w:val="00FA64B4"/>
    <w:rsid w:val="00FB7347"/>
    <w:rsid w:val="00FC13F0"/>
    <w:rsid w:val="00FE26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CommentReference">
    <w:name w:val="annotation reference"/>
    <w:basedOn w:val="DefaultParagraphFont"/>
    <w:rsid w:val="00AB6C03"/>
    <w:rPr>
      <w:sz w:val="16"/>
      <w:szCs w:val="16"/>
    </w:rPr>
  </w:style>
  <w:style w:type="paragraph" w:styleId="CommentText">
    <w:name w:val="annotation text"/>
    <w:basedOn w:val="Normal"/>
    <w:link w:val="CommentTextChar"/>
    <w:rsid w:val="00AB6C03"/>
    <w:rPr>
      <w:sz w:val="20"/>
      <w:szCs w:val="20"/>
    </w:rPr>
  </w:style>
  <w:style w:type="character" w:customStyle="1" w:styleId="CommentTextChar">
    <w:name w:val="Comment Text Char"/>
    <w:basedOn w:val="DefaultParagraphFont"/>
    <w:link w:val="CommentText"/>
    <w:rsid w:val="00AB6C03"/>
  </w:style>
  <w:style w:type="paragraph" w:styleId="CommentSubject">
    <w:name w:val="annotation subject"/>
    <w:basedOn w:val="CommentText"/>
    <w:next w:val="CommentText"/>
    <w:link w:val="CommentSubjectChar"/>
    <w:rsid w:val="00AB6C03"/>
    <w:rPr>
      <w:b/>
      <w:bCs/>
    </w:rPr>
  </w:style>
  <w:style w:type="character" w:customStyle="1" w:styleId="CommentSubjectChar">
    <w:name w:val="Comment Subject Char"/>
    <w:basedOn w:val="CommentTextChar"/>
    <w:link w:val="CommentSubject"/>
    <w:rsid w:val="00AB6C03"/>
    <w:rPr>
      <w:b/>
      <w:bCs/>
    </w:rPr>
  </w:style>
  <w:style w:type="paragraph" w:styleId="BalloonText">
    <w:name w:val="Balloon Text"/>
    <w:basedOn w:val="Normal"/>
    <w:link w:val="BalloonTextChar"/>
    <w:rsid w:val="00AB6C03"/>
    <w:rPr>
      <w:rFonts w:ascii="Tahoma" w:hAnsi="Tahoma" w:cs="Tahoma"/>
      <w:sz w:val="16"/>
      <w:szCs w:val="16"/>
    </w:rPr>
  </w:style>
  <w:style w:type="character" w:customStyle="1" w:styleId="BalloonTextChar">
    <w:name w:val="Balloon Text Char"/>
    <w:basedOn w:val="DefaultParagraphFont"/>
    <w:link w:val="BalloonText"/>
    <w:rsid w:val="00AB6C03"/>
    <w:rPr>
      <w:rFonts w:ascii="Tahoma" w:hAnsi="Tahoma" w:cs="Tahoma"/>
      <w:sz w:val="16"/>
      <w:szCs w:val="16"/>
    </w:rPr>
  </w:style>
  <w:style w:type="character" w:styleId="Hyperlink">
    <w:name w:val="Hyperlink"/>
    <w:basedOn w:val="DefaultParagraphFont"/>
    <w:rsid w:val="006D08C7"/>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Title of the Paper:</vt:lpstr>
    </vt:vector>
  </TitlesOfParts>
  <Company>ASEE</Company>
  <LinksUpToDate>false</LinksUpToDate>
  <CharactersWithSpaces>6885</CharactersWithSpaces>
  <SharedDoc>false</SharedDoc>
  <HLinks>
    <vt:vector size="6" baseType="variant">
      <vt:variant>
        <vt:i4>3866722</vt:i4>
      </vt:variant>
      <vt:variant>
        <vt:i4>21</vt:i4>
      </vt:variant>
      <vt:variant>
        <vt:i4>0</vt:i4>
      </vt:variant>
      <vt:variant>
        <vt:i4>5</vt:i4>
      </vt:variant>
      <vt:variant>
        <vt:lpwstr>http://www.mycoted.com/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jaa</dc:creator>
  <cp:keywords/>
  <cp:lastModifiedBy>LMIT-ODIN</cp:lastModifiedBy>
  <cp:revision>3</cp:revision>
  <cp:lastPrinted>2010-01-08T19:26:00Z</cp:lastPrinted>
  <dcterms:created xsi:type="dcterms:W3CDTF">2011-09-23T17:42:00Z</dcterms:created>
  <dcterms:modified xsi:type="dcterms:W3CDTF">2011-09-23T17:45:00Z</dcterms:modified>
</cp:coreProperties>
</file>